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360BB" w14:textId="77777777" w:rsidR="003C57A8" w:rsidRPr="00B77769" w:rsidRDefault="003C57A8" w:rsidP="003C57A8">
      <w:pPr>
        <w:spacing w:line="276" w:lineRule="auto"/>
        <w:ind w:right="-23"/>
        <w:jc w:val="both"/>
        <w:rPr>
          <w:rFonts w:ascii="GHEA Mariam" w:eastAsiaTheme="minorHAnsi" w:hAnsi="GHEA Mariam" w:cstheme="minorBidi"/>
          <w:b/>
          <w:bCs/>
          <w:lang w:val="hy-AM" w:eastAsia="en-US"/>
        </w:rPr>
      </w:pPr>
      <w:r w:rsidRPr="00B77769">
        <w:rPr>
          <w:rFonts w:ascii="GHEA Mariam" w:eastAsiaTheme="minorHAnsi" w:hAnsi="GHEA Mariam" w:cstheme="minorBidi"/>
          <w:b/>
          <w:bCs/>
          <w:lang w:val="hy-AM" w:eastAsia="en-US"/>
        </w:rPr>
        <w:t>ԼԻԼԻԹ ԹԱԴԵՎՈՍՅԱՆ</w:t>
      </w:r>
    </w:p>
    <w:p w14:paraId="30729C1C" w14:textId="77777777" w:rsidR="003C57A8" w:rsidRPr="00B77769" w:rsidRDefault="003C57A8" w:rsidP="003C57A8">
      <w:pPr>
        <w:spacing w:line="276" w:lineRule="auto"/>
        <w:ind w:right="-23"/>
        <w:jc w:val="both"/>
        <w:rPr>
          <w:rFonts w:ascii="GHEA Mariam" w:eastAsiaTheme="minorHAnsi" w:hAnsi="GHEA Mariam" w:cstheme="minorBidi"/>
          <w:b/>
          <w:bCs/>
          <w:lang w:val="hy-AM" w:eastAsia="en-US"/>
        </w:rPr>
      </w:pPr>
      <w:r w:rsidRPr="00B77769">
        <w:rPr>
          <w:rFonts w:ascii="GHEA Mariam" w:eastAsiaTheme="minorHAnsi" w:hAnsi="GHEA Mariam" w:cstheme="minorBidi"/>
          <w:b/>
          <w:bCs/>
          <w:lang w:val="hy-AM" w:eastAsia="en-US"/>
        </w:rPr>
        <w:t>Հայաստանի Հանրապետության Վճռաբեկ դատարանի նախագահ,</w:t>
      </w:r>
    </w:p>
    <w:p w14:paraId="37DB9E29" w14:textId="77777777" w:rsidR="003C57A8" w:rsidRPr="00B77769" w:rsidRDefault="003C57A8" w:rsidP="003C57A8">
      <w:pPr>
        <w:spacing w:line="276" w:lineRule="auto"/>
        <w:ind w:right="-23"/>
        <w:jc w:val="both"/>
        <w:rPr>
          <w:rFonts w:ascii="GHEA Mariam" w:eastAsiaTheme="minorHAnsi" w:hAnsi="GHEA Mariam" w:cstheme="minorBidi"/>
          <w:b/>
          <w:bCs/>
          <w:lang w:val="hy-AM" w:eastAsia="en-US"/>
        </w:rPr>
      </w:pPr>
      <w:r w:rsidRPr="00B77769">
        <w:rPr>
          <w:rFonts w:ascii="GHEA Mariam" w:eastAsiaTheme="minorHAnsi" w:hAnsi="GHEA Mariam" w:cstheme="minorBidi"/>
          <w:b/>
          <w:bCs/>
          <w:lang w:val="hy-AM" w:eastAsia="en-US"/>
        </w:rPr>
        <w:t>ՀՀ վաստակավոր իրավաբան,</w:t>
      </w:r>
    </w:p>
    <w:p w14:paraId="7F4F6960" w14:textId="77777777" w:rsidR="003C57A8" w:rsidRPr="00B77769" w:rsidRDefault="003C57A8" w:rsidP="003C57A8">
      <w:pPr>
        <w:spacing w:line="276" w:lineRule="auto"/>
        <w:ind w:right="-23"/>
        <w:jc w:val="both"/>
        <w:rPr>
          <w:rFonts w:ascii="GHEA Mariam" w:eastAsiaTheme="minorHAnsi" w:hAnsi="GHEA Mariam" w:cstheme="minorBidi"/>
          <w:b/>
          <w:bCs/>
          <w:lang w:val="hy-AM" w:eastAsia="en-US"/>
        </w:rPr>
      </w:pPr>
      <w:r w:rsidRPr="00B77769">
        <w:rPr>
          <w:rFonts w:ascii="GHEA Mariam" w:eastAsiaTheme="minorHAnsi" w:hAnsi="GHEA Mariam" w:cstheme="minorBidi"/>
          <w:b/>
          <w:bCs/>
          <w:lang w:val="hy-AM" w:eastAsia="en-US"/>
        </w:rPr>
        <w:t>իրավաբանական գիտությունների դոկտոր, պրոֆեսոր</w:t>
      </w:r>
    </w:p>
    <w:p w14:paraId="248A89F4" w14:textId="77777777" w:rsidR="003C57A8" w:rsidRPr="00B77769" w:rsidRDefault="003C57A8" w:rsidP="003C57A8">
      <w:pPr>
        <w:spacing w:line="276" w:lineRule="auto"/>
        <w:ind w:right="-23"/>
        <w:jc w:val="both"/>
        <w:rPr>
          <w:rFonts w:ascii="GHEA Mariam" w:eastAsiaTheme="minorHAnsi" w:hAnsi="GHEA Mariam" w:cstheme="minorBidi"/>
          <w:b/>
          <w:bCs/>
          <w:lang w:val="hy-AM" w:eastAsia="en-US"/>
        </w:rPr>
      </w:pPr>
    </w:p>
    <w:p w14:paraId="71DB15B4" w14:textId="77777777" w:rsidR="003C57A8" w:rsidRPr="00B77769" w:rsidRDefault="003C57A8" w:rsidP="003C57A8">
      <w:pPr>
        <w:spacing w:line="276" w:lineRule="auto"/>
        <w:ind w:right="-23"/>
        <w:jc w:val="both"/>
        <w:rPr>
          <w:rFonts w:ascii="GHEA Mariam" w:eastAsiaTheme="minorHAnsi" w:hAnsi="GHEA Mariam" w:cstheme="minorBidi"/>
          <w:b/>
          <w:bCs/>
          <w:lang w:val="ru-RU" w:eastAsia="en-US"/>
        </w:rPr>
      </w:pPr>
      <w:r w:rsidRPr="00B77769">
        <w:rPr>
          <w:rFonts w:ascii="GHEA Mariam" w:eastAsiaTheme="minorHAnsi" w:hAnsi="GHEA Mariam" w:cstheme="minorBidi"/>
          <w:b/>
          <w:bCs/>
          <w:lang w:val="ru-RU" w:eastAsia="en-US"/>
        </w:rPr>
        <w:t>ЛИЛИТ ТАДЕВОСЯН</w:t>
      </w:r>
    </w:p>
    <w:p w14:paraId="7CDC7FD7" w14:textId="77777777" w:rsidR="003C57A8" w:rsidRPr="00B77769" w:rsidRDefault="003C57A8" w:rsidP="003C57A8">
      <w:pPr>
        <w:spacing w:line="276" w:lineRule="auto"/>
        <w:ind w:right="-23"/>
        <w:jc w:val="both"/>
        <w:rPr>
          <w:rFonts w:ascii="GHEA Mariam" w:eastAsiaTheme="minorHAnsi" w:hAnsi="GHEA Mariam" w:cstheme="minorBidi"/>
          <w:b/>
          <w:bCs/>
          <w:lang w:val="ru-RU" w:eastAsia="en-US"/>
        </w:rPr>
      </w:pPr>
      <w:r w:rsidRPr="00B77769">
        <w:rPr>
          <w:rFonts w:ascii="GHEA Mariam" w:eastAsiaTheme="minorHAnsi" w:hAnsi="GHEA Mariam" w:cstheme="minorBidi"/>
          <w:b/>
          <w:bCs/>
          <w:lang w:val="ru-RU" w:eastAsia="en-US"/>
        </w:rPr>
        <w:t>Председатель Кассационного суда Республики Армения,</w:t>
      </w:r>
    </w:p>
    <w:p w14:paraId="32215936" w14:textId="77777777" w:rsidR="003C57A8" w:rsidRPr="00B77769" w:rsidRDefault="003C57A8" w:rsidP="003C57A8">
      <w:pPr>
        <w:spacing w:line="276" w:lineRule="auto"/>
        <w:ind w:right="-23"/>
        <w:jc w:val="both"/>
        <w:rPr>
          <w:rFonts w:ascii="GHEA Mariam" w:eastAsiaTheme="minorHAnsi" w:hAnsi="GHEA Mariam" w:cstheme="minorBidi"/>
          <w:b/>
          <w:bCs/>
          <w:lang w:val="ru-RU" w:eastAsia="en-US"/>
        </w:rPr>
      </w:pPr>
      <w:r w:rsidRPr="00B77769">
        <w:rPr>
          <w:rFonts w:ascii="GHEA Mariam" w:eastAsiaTheme="minorHAnsi" w:hAnsi="GHEA Mariam" w:cstheme="minorBidi"/>
          <w:b/>
          <w:bCs/>
          <w:lang w:val="ru-RU" w:eastAsia="en-US"/>
        </w:rPr>
        <w:t>заслуженный юрист РА,</w:t>
      </w:r>
    </w:p>
    <w:p w14:paraId="44683B11" w14:textId="77777777" w:rsidR="003C57A8" w:rsidRPr="00B77769" w:rsidRDefault="003C57A8" w:rsidP="003C57A8">
      <w:pPr>
        <w:spacing w:line="276" w:lineRule="auto"/>
        <w:ind w:right="-23"/>
        <w:jc w:val="both"/>
        <w:rPr>
          <w:rFonts w:ascii="GHEA Mariam" w:eastAsiaTheme="minorHAnsi" w:hAnsi="GHEA Mariam" w:cstheme="minorBidi"/>
          <w:b/>
          <w:bCs/>
          <w:lang w:val="ru-RU" w:eastAsia="en-US"/>
        </w:rPr>
      </w:pPr>
      <w:r w:rsidRPr="00B77769">
        <w:rPr>
          <w:rFonts w:ascii="GHEA Mariam" w:eastAsiaTheme="minorHAnsi" w:hAnsi="GHEA Mariam" w:cstheme="minorBidi"/>
          <w:b/>
          <w:bCs/>
          <w:lang w:val="ru-RU" w:eastAsia="en-US"/>
        </w:rPr>
        <w:t xml:space="preserve">доктор юридических наук, профессор </w:t>
      </w:r>
    </w:p>
    <w:p w14:paraId="6DAEDBD5" w14:textId="77777777" w:rsidR="003C57A8" w:rsidRPr="00B77769" w:rsidRDefault="003C57A8" w:rsidP="003C57A8">
      <w:pPr>
        <w:spacing w:line="276" w:lineRule="auto"/>
        <w:ind w:right="-23"/>
        <w:jc w:val="both"/>
        <w:rPr>
          <w:rFonts w:ascii="GHEA Mariam" w:eastAsiaTheme="minorHAnsi" w:hAnsi="GHEA Mariam" w:cstheme="minorBidi"/>
          <w:b/>
          <w:bCs/>
          <w:lang w:val="ru-RU" w:eastAsia="en-US"/>
        </w:rPr>
      </w:pPr>
    </w:p>
    <w:p w14:paraId="6834605B" w14:textId="77777777" w:rsidR="003C57A8" w:rsidRPr="00B77769" w:rsidRDefault="003C57A8" w:rsidP="003C57A8">
      <w:pPr>
        <w:spacing w:line="276" w:lineRule="auto"/>
        <w:ind w:right="-23"/>
        <w:jc w:val="both"/>
        <w:rPr>
          <w:rFonts w:ascii="GHEA Mariam" w:eastAsiaTheme="minorHAnsi" w:hAnsi="GHEA Mariam" w:cstheme="minorBidi"/>
          <w:b/>
          <w:bCs/>
          <w:lang w:val="en-US" w:eastAsia="en-US"/>
        </w:rPr>
      </w:pPr>
      <w:r w:rsidRPr="00B77769">
        <w:rPr>
          <w:rFonts w:ascii="GHEA Mariam" w:eastAsiaTheme="minorHAnsi" w:hAnsi="GHEA Mariam" w:cstheme="minorBidi"/>
          <w:b/>
          <w:bCs/>
          <w:lang w:val="en-US" w:eastAsia="en-US"/>
        </w:rPr>
        <w:t>LILIT  TADEVOSYAN</w:t>
      </w:r>
    </w:p>
    <w:p w14:paraId="3C616524" w14:textId="4C57EB1C" w:rsidR="003C57A8" w:rsidRPr="00B77769" w:rsidRDefault="003C57A8" w:rsidP="003C57A8">
      <w:pPr>
        <w:spacing w:line="276" w:lineRule="auto"/>
        <w:ind w:right="-23"/>
        <w:jc w:val="both"/>
        <w:rPr>
          <w:rFonts w:ascii="GHEA Mariam" w:eastAsiaTheme="minorHAnsi" w:hAnsi="GHEA Mariam" w:cstheme="minorBidi"/>
          <w:b/>
          <w:bCs/>
          <w:lang w:val="en-US" w:eastAsia="en-US"/>
        </w:rPr>
      </w:pPr>
      <w:r w:rsidRPr="00B77769">
        <w:rPr>
          <w:rFonts w:ascii="GHEA Mariam" w:eastAsiaTheme="minorHAnsi" w:hAnsi="GHEA Mariam" w:cstheme="minorBidi"/>
          <w:b/>
          <w:bCs/>
          <w:lang w:val="en-US" w:eastAsia="en-US"/>
        </w:rPr>
        <w:t>President of the Cassation Court of the Republic of Armenia</w:t>
      </w:r>
      <w:r w:rsidR="00F4645E">
        <w:rPr>
          <w:rFonts w:ascii="GHEA Mariam" w:eastAsiaTheme="minorHAnsi" w:hAnsi="GHEA Mariam" w:cstheme="minorBidi"/>
          <w:b/>
          <w:bCs/>
          <w:lang w:val="en-US" w:eastAsia="en-US"/>
        </w:rPr>
        <w:t>,</w:t>
      </w:r>
    </w:p>
    <w:p w14:paraId="7F71E6FF" w14:textId="6D5036A4" w:rsidR="003C57A8" w:rsidRPr="00B77769" w:rsidRDefault="003C57A8" w:rsidP="003C57A8">
      <w:pPr>
        <w:spacing w:line="276" w:lineRule="auto"/>
        <w:ind w:right="-23"/>
        <w:jc w:val="both"/>
        <w:rPr>
          <w:rFonts w:ascii="GHEA Mariam" w:eastAsiaTheme="minorHAnsi" w:hAnsi="GHEA Mariam" w:cstheme="minorBidi"/>
          <w:b/>
          <w:bCs/>
          <w:lang w:val="en-US" w:eastAsia="en-US"/>
        </w:rPr>
      </w:pPr>
      <w:r w:rsidRPr="00B77769">
        <w:rPr>
          <w:rFonts w:ascii="GHEA Mariam" w:eastAsiaTheme="minorHAnsi" w:hAnsi="GHEA Mariam" w:cstheme="minorBidi"/>
          <w:b/>
          <w:bCs/>
          <w:lang w:val="en-US" w:eastAsia="en-US"/>
        </w:rPr>
        <w:t>Honored Lawyer of the RA</w:t>
      </w:r>
      <w:r w:rsidR="00F4645E">
        <w:rPr>
          <w:rFonts w:ascii="GHEA Mariam" w:eastAsiaTheme="minorHAnsi" w:hAnsi="GHEA Mariam" w:cstheme="minorBidi"/>
          <w:b/>
          <w:bCs/>
          <w:lang w:val="en-US" w:eastAsia="en-US"/>
        </w:rPr>
        <w:t>,</w:t>
      </w:r>
    </w:p>
    <w:p w14:paraId="4FB7CB6F" w14:textId="77777777" w:rsidR="003C57A8" w:rsidRPr="00B77769" w:rsidRDefault="003C57A8" w:rsidP="003C57A8">
      <w:pPr>
        <w:spacing w:line="276" w:lineRule="auto"/>
        <w:ind w:right="-23"/>
        <w:rPr>
          <w:rFonts w:ascii="GHEA Mariam" w:hAnsi="GHEA Mariam" w:cs="Sylfaen"/>
          <w:b/>
          <w:noProof/>
          <w:color w:val="000000"/>
          <w:lang w:val="hy-AM"/>
        </w:rPr>
      </w:pPr>
      <w:r w:rsidRPr="00B77769">
        <w:rPr>
          <w:rFonts w:ascii="GHEA Mariam" w:hAnsi="GHEA Mariam" w:cs="Sylfaen"/>
          <w:b/>
          <w:noProof/>
          <w:color w:val="000000"/>
          <w:lang w:val="hy-AM"/>
        </w:rPr>
        <w:t>Doctor of the Science of Law, Professor</w:t>
      </w:r>
    </w:p>
    <w:p w14:paraId="59043278" w14:textId="77777777" w:rsidR="003C57A8" w:rsidRPr="00FC628B" w:rsidRDefault="003C57A8" w:rsidP="003C57A8">
      <w:pPr>
        <w:spacing w:line="360" w:lineRule="auto"/>
        <w:ind w:right="-23"/>
        <w:jc w:val="both"/>
        <w:rPr>
          <w:rFonts w:ascii="GHEA Mariam" w:eastAsiaTheme="minorHAnsi" w:hAnsi="GHEA Mariam" w:cstheme="minorBidi"/>
          <w:b/>
          <w:bCs/>
          <w:lang w:val="en-US" w:eastAsia="en-US"/>
        </w:rPr>
      </w:pPr>
    </w:p>
    <w:p w14:paraId="11111AEF" w14:textId="77777777" w:rsidR="003C57A8" w:rsidRPr="003D26B6" w:rsidRDefault="003C57A8" w:rsidP="003C57A8">
      <w:pPr>
        <w:spacing w:line="360" w:lineRule="auto"/>
        <w:ind w:right="-23"/>
        <w:jc w:val="center"/>
        <w:rPr>
          <w:rFonts w:ascii="GHEA Mariam" w:hAnsi="GHEA Mariam" w:cs="Sylfaen"/>
        </w:rPr>
      </w:pPr>
    </w:p>
    <w:p w14:paraId="58430788" w14:textId="77777777" w:rsidR="003C57A8" w:rsidRPr="003D26B6" w:rsidRDefault="003C57A8" w:rsidP="003C57A8">
      <w:pPr>
        <w:spacing w:line="276" w:lineRule="auto"/>
        <w:ind w:right="-23"/>
        <w:jc w:val="center"/>
        <w:rPr>
          <w:rFonts w:ascii="GHEA Mariam" w:hAnsi="GHEA Mariam"/>
          <w:b/>
          <w:bCs/>
        </w:rPr>
      </w:pPr>
      <w:r w:rsidRPr="003D26B6">
        <w:rPr>
          <w:rFonts w:ascii="GHEA Mariam" w:hAnsi="GHEA Mariam" w:cs="Sylfaen"/>
          <w:b/>
          <w:bCs/>
        </w:rPr>
        <w:t>ԴԱՏԱԿԱՆ</w:t>
      </w:r>
      <w:r w:rsidRPr="003D26B6">
        <w:rPr>
          <w:rFonts w:ascii="GHEA Mariam" w:hAnsi="GHEA Mariam"/>
          <w:b/>
          <w:bCs/>
        </w:rPr>
        <w:t xml:space="preserve"> </w:t>
      </w:r>
      <w:r w:rsidRPr="003D26B6">
        <w:rPr>
          <w:rFonts w:ascii="GHEA Mariam" w:hAnsi="GHEA Mariam" w:cs="Sylfaen"/>
          <w:b/>
          <w:bCs/>
        </w:rPr>
        <w:t>ԻՇԽԱՆՈՒԹՅԱՆ</w:t>
      </w:r>
      <w:r w:rsidRPr="003D26B6">
        <w:rPr>
          <w:rFonts w:ascii="GHEA Mariam" w:hAnsi="GHEA Mariam"/>
          <w:b/>
          <w:bCs/>
        </w:rPr>
        <w:t xml:space="preserve"> </w:t>
      </w:r>
      <w:r w:rsidRPr="003D26B6">
        <w:rPr>
          <w:rFonts w:ascii="GHEA Mariam" w:hAnsi="GHEA Mariam" w:cs="Sylfaen"/>
          <w:b/>
          <w:bCs/>
        </w:rPr>
        <w:t>ՀԱՆԴԵՊ</w:t>
      </w:r>
      <w:r w:rsidRPr="003D26B6">
        <w:rPr>
          <w:rFonts w:ascii="GHEA Mariam" w:hAnsi="GHEA Mariam"/>
          <w:b/>
          <w:bCs/>
        </w:rPr>
        <w:t xml:space="preserve"> </w:t>
      </w:r>
      <w:r w:rsidRPr="003D26B6">
        <w:rPr>
          <w:rFonts w:ascii="GHEA Mariam" w:hAnsi="GHEA Mariam" w:cs="Sylfaen"/>
          <w:b/>
          <w:bCs/>
        </w:rPr>
        <w:t>ՀԱՆՐԱՅԻՆ</w:t>
      </w:r>
    </w:p>
    <w:p w14:paraId="1E84DBE7" w14:textId="77777777" w:rsidR="003C57A8" w:rsidRPr="003D26B6" w:rsidRDefault="003C57A8" w:rsidP="003C57A8">
      <w:pPr>
        <w:spacing w:line="276" w:lineRule="auto"/>
        <w:ind w:right="-23"/>
        <w:jc w:val="center"/>
        <w:rPr>
          <w:rFonts w:ascii="GHEA Mariam" w:hAnsi="GHEA Mariam" w:cs="Sylfaen"/>
          <w:b/>
          <w:bCs/>
          <w:lang w:val="hy-AM"/>
        </w:rPr>
      </w:pPr>
      <w:r w:rsidRPr="003D26B6">
        <w:rPr>
          <w:rFonts w:ascii="GHEA Mariam" w:hAnsi="GHEA Mariam" w:cs="Sylfaen"/>
          <w:b/>
          <w:bCs/>
        </w:rPr>
        <w:t>ՎՍՏԱՀՈՒԹՅԱՆ</w:t>
      </w:r>
      <w:r w:rsidRPr="003D26B6">
        <w:rPr>
          <w:rFonts w:ascii="GHEA Mariam" w:hAnsi="GHEA Mariam"/>
          <w:b/>
          <w:bCs/>
        </w:rPr>
        <w:t xml:space="preserve"> </w:t>
      </w:r>
      <w:r w:rsidRPr="003D26B6">
        <w:rPr>
          <w:rFonts w:ascii="GHEA Mariam" w:hAnsi="GHEA Mariam" w:cs="Sylfaen"/>
          <w:b/>
          <w:bCs/>
        </w:rPr>
        <w:t>ԱՄՐԱՊՆԴՄԱՆ</w:t>
      </w:r>
      <w:r w:rsidRPr="003D26B6">
        <w:rPr>
          <w:rFonts w:ascii="GHEA Mariam" w:hAnsi="GHEA Mariam"/>
          <w:b/>
          <w:bCs/>
        </w:rPr>
        <w:t xml:space="preserve"> </w:t>
      </w:r>
      <w:r w:rsidRPr="003D26B6">
        <w:rPr>
          <w:rFonts w:ascii="GHEA Mariam" w:hAnsi="GHEA Mariam" w:cs="Sylfaen"/>
          <w:b/>
          <w:bCs/>
          <w:lang w:val="hy-AM"/>
        </w:rPr>
        <w:t>ՀԻՄՆԱՀԱՐՑԵՐԸ</w:t>
      </w:r>
    </w:p>
    <w:p w14:paraId="69F4EB2E" w14:textId="77777777" w:rsidR="003C57A8" w:rsidRPr="003D26B6" w:rsidRDefault="003C57A8" w:rsidP="003C57A8">
      <w:pPr>
        <w:spacing w:line="276" w:lineRule="auto"/>
        <w:ind w:right="-23"/>
        <w:jc w:val="center"/>
        <w:rPr>
          <w:rFonts w:ascii="GHEA Mariam" w:hAnsi="GHEA Mariam" w:cs="Sylfaen"/>
          <w:b/>
          <w:bCs/>
          <w:lang w:val="hy-AM"/>
        </w:rPr>
      </w:pPr>
    </w:p>
    <w:p w14:paraId="73EF41BD" w14:textId="77777777" w:rsidR="003C57A8" w:rsidRPr="003D26B6" w:rsidRDefault="003C57A8" w:rsidP="003C57A8">
      <w:pPr>
        <w:spacing w:line="276" w:lineRule="auto"/>
        <w:ind w:right="-23"/>
        <w:jc w:val="center"/>
        <w:rPr>
          <w:rFonts w:ascii="GHEA Mariam" w:hAnsi="GHEA Mariam" w:cs="Sylfaen"/>
          <w:b/>
          <w:bCs/>
          <w:lang w:val="ru-RU"/>
        </w:rPr>
      </w:pPr>
      <w:r w:rsidRPr="003D26B6">
        <w:rPr>
          <w:rFonts w:ascii="GHEA Mariam" w:hAnsi="GHEA Mariam" w:cs="Sylfaen"/>
          <w:b/>
          <w:bCs/>
          <w:lang w:val="ru-RU"/>
        </w:rPr>
        <w:t>ВОПРОСЫ УКРЕПЛЕНИЯ ОБЩЕСТВЕННОГО ДОВЕРИЯ</w:t>
      </w:r>
    </w:p>
    <w:p w14:paraId="3CB9DD6E" w14:textId="77777777" w:rsidR="003C57A8" w:rsidRDefault="003C57A8" w:rsidP="003C57A8">
      <w:pPr>
        <w:spacing w:line="276" w:lineRule="auto"/>
        <w:ind w:right="-23"/>
        <w:jc w:val="center"/>
        <w:rPr>
          <w:rFonts w:ascii="GHEA Mariam" w:hAnsi="GHEA Mariam" w:cs="Sylfaen"/>
          <w:b/>
          <w:bCs/>
          <w:lang w:val="ru-RU"/>
        </w:rPr>
      </w:pPr>
      <w:r w:rsidRPr="003D26B6">
        <w:rPr>
          <w:rFonts w:ascii="GHEA Mariam" w:hAnsi="GHEA Mariam" w:cs="Sylfaen"/>
          <w:b/>
          <w:bCs/>
          <w:lang w:val="ru-RU"/>
        </w:rPr>
        <w:t xml:space="preserve"> К СУДЕБНОЙ ВЛАСТИ </w:t>
      </w:r>
    </w:p>
    <w:p w14:paraId="4170A2D9" w14:textId="77777777" w:rsidR="003C57A8" w:rsidRDefault="003C57A8" w:rsidP="003C57A8">
      <w:pPr>
        <w:spacing w:line="276" w:lineRule="auto"/>
        <w:ind w:right="-23"/>
        <w:jc w:val="center"/>
        <w:rPr>
          <w:rFonts w:ascii="GHEA Mariam" w:hAnsi="GHEA Mariam" w:cs="Sylfaen"/>
          <w:b/>
          <w:bCs/>
          <w:lang w:val="ru-RU"/>
        </w:rPr>
      </w:pPr>
    </w:p>
    <w:p w14:paraId="1924292A" w14:textId="2F63AB14" w:rsidR="003C57A8" w:rsidRDefault="003C57A8" w:rsidP="003C57A8">
      <w:pPr>
        <w:spacing w:line="276" w:lineRule="auto"/>
        <w:ind w:right="-23"/>
        <w:jc w:val="center"/>
        <w:rPr>
          <w:rFonts w:ascii="GHEA Mariam" w:hAnsi="GHEA Mariam" w:cs="Sylfaen"/>
          <w:b/>
          <w:bCs/>
          <w:lang w:val="ru-RU"/>
        </w:rPr>
      </w:pPr>
      <w:r w:rsidRPr="00767F4A">
        <w:rPr>
          <w:rFonts w:ascii="GHEA Mariam" w:hAnsi="GHEA Mariam" w:cs="Sylfaen"/>
          <w:b/>
          <w:bCs/>
          <w:lang w:val="ru-RU"/>
        </w:rPr>
        <w:t xml:space="preserve">ISSUES OF STRENGTHENING </w:t>
      </w:r>
      <w:r w:rsidR="00F4645E">
        <w:rPr>
          <w:rFonts w:ascii="GHEA Mariam" w:hAnsi="GHEA Mariam" w:cs="Sylfaen"/>
          <w:b/>
          <w:bCs/>
          <w:lang w:val="en-US"/>
        </w:rPr>
        <w:t xml:space="preserve">OF THE </w:t>
      </w:r>
      <w:r w:rsidRPr="00767F4A">
        <w:rPr>
          <w:rFonts w:ascii="GHEA Mariam" w:hAnsi="GHEA Mariam" w:cs="Sylfaen"/>
          <w:b/>
          <w:bCs/>
          <w:lang w:val="ru-RU"/>
        </w:rPr>
        <w:t>PUBLIC CONFIDENCE</w:t>
      </w:r>
    </w:p>
    <w:p w14:paraId="1B4BEAEE" w14:textId="77777777" w:rsidR="003C57A8" w:rsidRDefault="003C57A8" w:rsidP="003C57A8">
      <w:pPr>
        <w:spacing w:line="276" w:lineRule="auto"/>
        <w:ind w:right="-23"/>
        <w:jc w:val="center"/>
        <w:rPr>
          <w:rFonts w:ascii="GHEA Mariam" w:hAnsi="GHEA Mariam" w:cs="Sylfaen"/>
          <w:b/>
          <w:bCs/>
          <w:lang w:val="ru-RU"/>
        </w:rPr>
      </w:pPr>
      <w:r w:rsidRPr="00767F4A">
        <w:rPr>
          <w:rFonts w:ascii="GHEA Mariam" w:hAnsi="GHEA Mariam" w:cs="Sylfaen"/>
          <w:b/>
          <w:bCs/>
          <w:lang w:val="ru-RU"/>
        </w:rPr>
        <w:t xml:space="preserve"> IN THE JUDICIARY</w:t>
      </w:r>
    </w:p>
    <w:p w14:paraId="36CA3AC3" w14:textId="77777777" w:rsidR="00212679" w:rsidRPr="003D26B6" w:rsidRDefault="00212679" w:rsidP="003C57A8">
      <w:pPr>
        <w:spacing w:line="360" w:lineRule="auto"/>
        <w:ind w:right="-23" w:firstLine="567"/>
        <w:jc w:val="both"/>
        <w:rPr>
          <w:rFonts w:ascii="GHEA Mariam" w:hAnsi="GHEA Mariam" w:cs="Sylfaen"/>
          <w:lang w:val="hy-AM"/>
        </w:rPr>
      </w:pPr>
    </w:p>
    <w:p w14:paraId="2192E508" w14:textId="2FCBAA52"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Անվիճելի իրողություն է այն </w:t>
      </w:r>
      <w:r w:rsidR="00F03911" w:rsidRPr="003D26B6">
        <w:rPr>
          <w:rFonts w:ascii="GHEA Mariam" w:hAnsi="GHEA Mariam" w:cs="Sylfaen"/>
          <w:lang w:val="hy-AM"/>
        </w:rPr>
        <w:t>փաստը</w:t>
      </w:r>
      <w:r w:rsidRPr="003D26B6">
        <w:rPr>
          <w:rFonts w:ascii="GHEA Mariam" w:hAnsi="GHEA Mariam" w:cs="Sylfaen"/>
          <w:lang w:val="hy-AM"/>
        </w:rPr>
        <w:t xml:space="preserve">, որ հանրային վստահությունը դատական իշխանության զարգացման առաջնային գրավականներից է։ </w:t>
      </w:r>
    </w:p>
    <w:p w14:paraId="1B69398D" w14:textId="5BD44C28"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Դատական իշխանության գործունեության վերաբերյալ ձևավորվող հանրային ընկալման ցուցիչն ուղիղ համեմատական է դատական իշխանության հեղինակության աստիճանին, հետևաբար ինչպես աշխարհի բոլոր առաջադեմ երկրներում, այնպես էլ Հայաստանի Հանրապետությունում դատական իշխանության զարգացման ռազմավարության օրակարգային հարցերից է հանրային վստահության ամրապնդումը</w:t>
      </w:r>
      <w:r w:rsidR="00F03911" w:rsidRPr="003D26B6">
        <w:rPr>
          <w:rFonts w:ascii="GHEA Mariam" w:hAnsi="GHEA Mariam" w:cs="Sylfaen"/>
          <w:lang w:val="hy-AM"/>
        </w:rPr>
        <w:t>։ Այն</w:t>
      </w:r>
      <w:r w:rsidRPr="003D26B6">
        <w:rPr>
          <w:rFonts w:ascii="GHEA Mariam" w:hAnsi="GHEA Mariam" w:cs="Sylfaen"/>
          <w:lang w:val="hy-AM"/>
        </w:rPr>
        <w:t xml:space="preserve"> մշտապես պահանջում է իրավունքահեն միջավայրի ձևավորմանն </w:t>
      </w:r>
      <w:r w:rsidRPr="003D26B6">
        <w:rPr>
          <w:rFonts w:ascii="GHEA Mariam" w:hAnsi="GHEA Mariam" w:cs="Sylfaen"/>
          <w:lang w:val="hy-AM"/>
        </w:rPr>
        <w:lastRenderedPageBreak/>
        <w:t>ուղղված գործուն միջոցների ձեռնարկում</w:t>
      </w:r>
      <w:r w:rsidR="00F03911" w:rsidRPr="003D26B6">
        <w:rPr>
          <w:rFonts w:ascii="GHEA Mariam" w:hAnsi="GHEA Mariam" w:cs="Sylfaen"/>
          <w:lang w:val="hy-AM"/>
        </w:rPr>
        <w:t>՝</w:t>
      </w:r>
      <w:r w:rsidRPr="003D26B6">
        <w:rPr>
          <w:rFonts w:ascii="GHEA Mariam" w:hAnsi="GHEA Mariam" w:cs="Sylfaen"/>
          <w:lang w:val="hy-AM"/>
        </w:rPr>
        <w:t xml:space="preserve"> ինչպես դատաիրավական բարեփոխումները համակարգող գործադիր և օրենսդիր իշխանության թևերի, այնպես էլ դատական իշխանության ներկայացուցիչների՝ դատավորների կողմից։ </w:t>
      </w:r>
    </w:p>
    <w:p w14:paraId="2ED1A14D" w14:textId="499DD1DA" w:rsidR="00774FFE" w:rsidRPr="003D26B6" w:rsidRDefault="00F03911"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Մ</w:t>
      </w:r>
      <w:r w:rsidR="00774FFE" w:rsidRPr="003D26B6">
        <w:rPr>
          <w:rFonts w:ascii="GHEA Mariam" w:hAnsi="GHEA Mariam" w:cs="Sylfaen"/>
          <w:lang w:val="hy-AM"/>
        </w:rPr>
        <w:t xml:space="preserve">ի շարք հեղինակավոր միջազգային կառույցներ, այդ թվում՝ Եվրոպայի խորհրդի Նախարարների կոմիտեն (ԵԽՆԿ), </w:t>
      </w:r>
      <w:r w:rsidR="00774FFE" w:rsidRPr="003D26B6">
        <w:rPr>
          <w:rFonts w:ascii="GHEA Mariam" w:eastAsiaTheme="minorHAnsi" w:hAnsi="GHEA Mariam" w:cs="Sylfaen"/>
          <w:lang w:val="hy-AM" w:eastAsia="en-US"/>
        </w:rPr>
        <w:t>«Ժողովրդավարություն` իրավունքի միջոցով» եվրոպական հանձնաժողովը (Վենետիկի հանձնաժողով)</w:t>
      </w:r>
      <w:r w:rsidR="00774FFE" w:rsidRPr="003D26B6">
        <w:rPr>
          <w:rFonts w:ascii="GHEA Mariam" w:hAnsi="GHEA Mariam" w:cs="Sylfaen"/>
          <w:lang w:val="hy-AM"/>
        </w:rPr>
        <w:t xml:space="preserve">, </w:t>
      </w:r>
      <w:r w:rsidR="00774FFE" w:rsidRPr="003D26B6">
        <w:rPr>
          <w:rFonts w:ascii="GHEA Mariam" w:eastAsiaTheme="minorHAnsi" w:hAnsi="GHEA Mariam" w:cs="Sylfaen"/>
          <w:lang w:val="hy-AM" w:eastAsia="en-US"/>
        </w:rPr>
        <w:t>Եվրոպայի խորհրդի Կոռուպցիայի դեմ պայքարող պետությունների խումբը</w:t>
      </w:r>
      <w:r w:rsidR="00774FFE" w:rsidRPr="003D26B6">
        <w:rPr>
          <w:rFonts w:ascii="GHEA Mariam" w:hAnsi="GHEA Mariam" w:cs="Sylfaen"/>
          <w:lang w:val="hy-AM"/>
        </w:rPr>
        <w:t xml:space="preserve"> (ԳՐԵԿՈ), Եվրոպական դատավորների խորհրդատվական խորհուրդը (ԵԴԽԽ), հատուկ ուշադրություն են սևեռում դատական իշխանության հանդեպ հանրային վստահության ամրապնդման պատշաճ գործիքակազմի մշակմանը՝ նկատի ունենալով, որ նշված խնդրի լուծումը պահանջում է մի քանի ուղղություններով համալիր և</w:t>
      </w:r>
      <w:r w:rsidR="00774FFE" w:rsidRPr="003D26B6">
        <w:rPr>
          <w:rFonts w:ascii="GHEA Mariam" w:hAnsi="GHEA Mariam" w:cs="Sylfaen"/>
          <w:lang w:val="en-US"/>
        </w:rPr>
        <w:t xml:space="preserve"> </w:t>
      </w:r>
      <w:r w:rsidR="00774FFE" w:rsidRPr="003D26B6">
        <w:rPr>
          <w:rFonts w:ascii="GHEA Mariam" w:hAnsi="GHEA Mariam" w:cs="Sylfaen"/>
          <w:lang w:val="hy-AM"/>
        </w:rPr>
        <w:t xml:space="preserve">համակարգված ինստիտուցիոնալ միջոցառումների ձեռնարկում։ </w:t>
      </w:r>
    </w:p>
    <w:p w14:paraId="3B25E0F6" w14:textId="7545ACEA"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Նշված մոտեցումը որդեգրում են աշխարհի բազում երկրներ՝ ընդ որում՝ ինչպես ազգային, այնպես էլ միջազգային, վերպետական դատական մարմինների նկատմամբ հանրային վստահության մակարդակն ըստ ամենայնի բարձրացնելու համար։ Հանրային վստահության պակասորդի հաղթահարման համար, ըստ միջազգային զեկույցների, նույն մոտեցումն են որդեգրել որպես «համաշխարհային դատարան» բնորոշվող՝ Միավորված ազգերի կազմակերպության Արդարադատության միջազգային դատարանը, Միջազգային քրեական դատարանը, Եվրոպական միության Արդարադատության դատարանը և այլ միջազգային դատական ատյաններ։</w:t>
      </w:r>
    </w:p>
    <w:p w14:paraId="37341CFA" w14:textId="14091E43"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Ընդհանուր առմամբ</w:t>
      </w:r>
      <w:r w:rsidR="00F01219" w:rsidRPr="003D26B6">
        <w:rPr>
          <w:rFonts w:ascii="GHEA Mariam" w:hAnsi="GHEA Mariam" w:cs="Sylfaen"/>
          <w:lang w:val="en-US"/>
        </w:rPr>
        <w:t>,</w:t>
      </w:r>
      <w:r w:rsidRPr="003D26B6">
        <w:rPr>
          <w:rFonts w:ascii="GHEA Mariam" w:hAnsi="GHEA Mariam" w:cs="Sylfaen"/>
          <w:lang w:val="hy-AM"/>
        </w:rPr>
        <w:t xml:space="preserve"> </w:t>
      </w:r>
      <w:r w:rsidR="00B03D46" w:rsidRPr="003D26B6">
        <w:rPr>
          <w:rFonts w:ascii="GHEA Mariam" w:hAnsi="GHEA Mariam" w:cs="Sylfaen"/>
          <w:lang w:val="hy-AM"/>
        </w:rPr>
        <w:t xml:space="preserve">ըստ </w:t>
      </w:r>
      <w:r w:rsidRPr="003D26B6">
        <w:rPr>
          <w:rFonts w:ascii="GHEA Mariam" w:hAnsi="GHEA Mariam" w:cs="Sylfaen"/>
          <w:lang w:val="hy-AM"/>
        </w:rPr>
        <w:t>միջազգային չափանիշների</w:t>
      </w:r>
      <w:r w:rsidR="00B03D46" w:rsidRPr="003D26B6">
        <w:rPr>
          <w:rFonts w:ascii="GHEA Mariam" w:hAnsi="GHEA Mariam" w:cs="Sylfaen"/>
          <w:lang w:val="hy-AM"/>
        </w:rPr>
        <w:t>,</w:t>
      </w:r>
      <w:r w:rsidRPr="003D26B6">
        <w:rPr>
          <w:rFonts w:ascii="GHEA Mariam" w:hAnsi="GHEA Mariam" w:cs="Sylfaen"/>
          <w:lang w:val="hy-AM"/>
        </w:rPr>
        <w:t xml:space="preserve">  հանրային վստահության համեմատաբար բարձր մակարդակ ակնկալող դատական իշխանության մոդելը հիմնված է երեք հիմնասյուների վրա՝ </w:t>
      </w:r>
    </w:p>
    <w:p w14:paraId="654873F7" w14:textId="77777777" w:rsidR="00774FFE" w:rsidRPr="003D26B6" w:rsidRDefault="00774FFE" w:rsidP="003C57A8">
      <w:pPr>
        <w:spacing w:line="360" w:lineRule="auto"/>
        <w:ind w:right="-23" w:firstLine="567"/>
        <w:jc w:val="both"/>
        <w:rPr>
          <w:rFonts w:ascii="GHEA Mariam" w:hAnsi="GHEA Mariam" w:cs="Sylfaen"/>
          <w:lang w:val="hy-AM"/>
        </w:rPr>
      </w:pPr>
      <w:bookmarkStart w:id="0" w:name="_Hlk109122635"/>
      <w:r w:rsidRPr="003D26B6">
        <w:rPr>
          <w:rFonts w:ascii="GHEA Mariam" w:hAnsi="GHEA Mariam" w:cs="Sylfaen"/>
          <w:lang w:val="hy-AM"/>
        </w:rPr>
        <w:t xml:space="preserve">ա) անկախություն և անկողմնակալություն, </w:t>
      </w:r>
    </w:p>
    <w:p w14:paraId="2795C012" w14:textId="77777777"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բ) հաշվետվողականություն ու թափանցիկություն, </w:t>
      </w:r>
    </w:p>
    <w:p w14:paraId="36F63740" w14:textId="77777777"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գ) ողջամիտ ժամկետներում գործերի քննության իրականացում։ </w:t>
      </w:r>
    </w:p>
    <w:bookmarkEnd w:id="0"/>
    <w:p w14:paraId="1EB25B62" w14:textId="140C8263" w:rsidR="00774FFE" w:rsidRPr="003D26B6" w:rsidRDefault="00F03911"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Թվարկված ինստիտուտների</w:t>
      </w:r>
      <w:r w:rsidR="00774FFE" w:rsidRPr="003D26B6">
        <w:rPr>
          <w:rFonts w:ascii="GHEA Mariam" w:hAnsi="GHEA Mariam" w:cs="Sylfaen"/>
          <w:lang w:val="hy-AM"/>
        </w:rPr>
        <w:t xml:space="preserve"> ապահովմամբ կարող է իրողություն դառնալ իրավունքի գերակայության վրա հիմնված լեգիտիմ դատական իշխանության </w:t>
      </w:r>
      <w:r w:rsidR="00774FFE" w:rsidRPr="003D26B6">
        <w:rPr>
          <w:rFonts w:ascii="GHEA Mariam" w:hAnsi="GHEA Mariam" w:cs="Sylfaen"/>
          <w:lang w:val="hy-AM"/>
        </w:rPr>
        <w:lastRenderedPageBreak/>
        <w:t xml:space="preserve">գոյությունը, հետևաբար </w:t>
      </w:r>
      <w:r w:rsidR="00212679" w:rsidRPr="003D26B6">
        <w:rPr>
          <w:rFonts w:ascii="GHEA Mariam" w:hAnsi="GHEA Mariam" w:cs="Sylfaen"/>
          <w:lang w:val="hy-AM"/>
        </w:rPr>
        <w:t>սույն հոդվածի շրջանակներում անդրադարձ կկատարվի</w:t>
      </w:r>
      <w:r w:rsidR="00774FFE" w:rsidRPr="003D26B6">
        <w:rPr>
          <w:rFonts w:ascii="GHEA Mariam" w:hAnsi="GHEA Mariam" w:cs="Sylfaen"/>
          <w:lang w:val="hy-AM"/>
        </w:rPr>
        <w:t xml:space="preserve"> </w:t>
      </w:r>
      <w:r w:rsidRPr="003D26B6">
        <w:rPr>
          <w:rFonts w:ascii="GHEA Mariam" w:hAnsi="GHEA Mariam" w:cs="Sylfaen"/>
          <w:lang w:val="hy-AM"/>
        </w:rPr>
        <w:t>դրանցից</w:t>
      </w:r>
      <w:r w:rsidR="00774FFE" w:rsidRPr="003D26B6">
        <w:rPr>
          <w:rFonts w:ascii="GHEA Mariam" w:hAnsi="GHEA Mariam" w:cs="Sylfaen"/>
          <w:lang w:val="hy-AM"/>
        </w:rPr>
        <w:t xml:space="preserve"> յուրաքանչյուրի առանձնահատկությունների </w:t>
      </w:r>
      <w:r w:rsidRPr="003D26B6">
        <w:rPr>
          <w:rFonts w:ascii="GHEA Mariam" w:hAnsi="GHEA Mariam" w:cs="Sylfaen"/>
          <w:lang w:val="hy-AM"/>
        </w:rPr>
        <w:t>պարզաբանմանը</w:t>
      </w:r>
      <w:r w:rsidR="00774FFE" w:rsidRPr="003D26B6">
        <w:rPr>
          <w:rFonts w:ascii="GHEA Mariam" w:hAnsi="GHEA Mariam" w:cs="Sylfaen"/>
          <w:lang w:val="hy-AM"/>
        </w:rPr>
        <w:t>։</w:t>
      </w:r>
    </w:p>
    <w:p w14:paraId="776F8CDA" w14:textId="77777777" w:rsidR="00BD24FC" w:rsidRPr="003D26B6" w:rsidRDefault="00BD24FC" w:rsidP="003C57A8">
      <w:pPr>
        <w:spacing w:line="360" w:lineRule="auto"/>
        <w:ind w:right="-23" w:firstLine="567"/>
        <w:jc w:val="both"/>
        <w:rPr>
          <w:rFonts w:ascii="GHEA Mariam" w:hAnsi="GHEA Mariam"/>
          <w:noProof/>
          <w:lang w:val="hy-AM"/>
        </w:rPr>
      </w:pPr>
      <w:r w:rsidRPr="003D26B6">
        <w:rPr>
          <w:rFonts w:ascii="GHEA Mariam" w:hAnsi="GHEA Mariam"/>
          <w:noProof/>
          <w:shd w:val="clear" w:color="auto" w:fill="FFFFFF"/>
          <w:lang w:val="hy-AM"/>
        </w:rPr>
        <w:t>Անկախ և անկողմնակալ դատարանի կողմից գործի քննության իրավունքը, արդար դատաքննության կարևորագույն բաղադրատարրերից է:</w:t>
      </w:r>
      <w:r w:rsidRPr="003D26B6">
        <w:rPr>
          <w:rFonts w:ascii="GHEA Mariam" w:hAnsi="GHEA Mariam"/>
          <w:noProof/>
          <w:lang w:val="hy-AM"/>
        </w:rPr>
        <w:t xml:space="preserve"> Դատարանի անկախությունն անբաժանելիորեն կապված է դատավորի անաչառության ու անկողմնակալության հետ և արդարադատության նախապայմանն է հանդիսանում։</w:t>
      </w:r>
    </w:p>
    <w:p w14:paraId="3B687CDE" w14:textId="400656A9" w:rsidR="00774FFE" w:rsidRPr="003D26B6" w:rsidRDefault="00B52F4D"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Դ</w:t>
      </w:r>
      <w:r w:rsidR="00774FFE" w:rsidRPr="003D26B6">
        <w:rPr>
          <w:rFonts w:ascii="GHEA Mariam" w:hAnsi="GHEA Mariam" w:cs="Sylfaen"/>
          <w:lang w:val="hy-AM"/>
        </w:rPr>
        <w:t xml:space="preserve">ատական իշխանության և մասնավորապես դատավորների անկախության, ինչպես նաև անկողմնակալության ապահովման կայուն երաշխիքների առկայությունը ենթադրում է իրավունքահեն այնպիսի միջավայրի ձևավորում, որտեղ դատավորը գործում է որպես չեզոք երրորդ անձ կամ պետական իշխանության ներկայացուցիչների մասնակցությամբ գործերով առավել հայտնի՝ որպես միջնապատ՝ քաղաքացու և պետության միջև։ </w:t>
      </w:r>
    </w:p>
    <w:p w14:paraId="328B2851" w14:textId="77777777"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Այս առումով, ինչպես գործառութային, այնպես էլ ինստիտուցիոնալ անկախության ապահովումն անհրաժեշտ նախապայման է, որպեսզի դատավորը վստահություն ներշնչի դատական նիստերի դահլիճում ներկա գտնվող անձանց։ Ավելին, ինչպես մի շարք գործերով նշել է Մարդու իրավունքների եվրոպական դատարանը, կարևոր է արտաքին ճնշումներից պաշտպանության երաշխիքների առկայությունը, անկախության արտաքին տպավորությունը։ </w:t>
      </w:r>
    </w:p>
    <w:p w14:paraId="1F9672D6" w14:textId="039BF33B"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Նույն մոտեցումը կիրառելի է նաև օբյեկտիվ և սուբյեկտիվ չափորոշիչների վրա հիմնվող անկողմնակալության գնահատման նկատմամբ</w:t>
      </w:r>
      <w:r w:rsidR="00BD24FC" w:rsidRPr="003D26B6">
        <w:rPr>
          <w:rStyle w:val="a8"/>
          <w:rFonts w:ascii="GHEA Mariam" w:hAnsi="GHEA Mariam"/>
          <w:shd w:val="clear" w:color="auto" w:fill="FFFFFF"/>
        </w:rPr>
        <w:footnoteReference w:id="1"/>
      </w:r>
      <w:r w:rsidRPr="003D26B6">
        <w:rPr>
          <w:rFonts w:ascii="GHEA Mariam" w:hAnsi="GHEA Mariam" w:cs="Sylfaen"/>
          <w:lang w:val="hy-AM"/>
        </w:rPr>
        <w:t>։ Այս առումով, հատկանշական է միջազգային փաստաթղթերում, իսկ արդեն նաև ՀՀ քրեական դատավարության նոր օրենսգրքում օգտագործվող այն սկզբունքը, որ ա</w:t>
      </w:r>
      <w:r w:rsidRPr="003D26B6">
        <w:rPr>
          <w:rFonts w:ascii="GHEA Mariam" w:eastAsiaTheme="minorHAnsi" w:hAnsi="GHEA Mariam" w:cs="Sylfaen"/>
          <w:lang w:val="hy-AM" w:eastAsia="en-US"/>
        </w:rPr>
        <w:t>րդարադատություն իրականացնելիս դատավորը պարտավոր է լինել և ամենակարևորը՝ երևալ անկողմնակալ:</w:t>
      </w:r>
      <w:r w:rsidRPr="003D26B6">
        <w:rPr>
          <w:rFonts w:ascii="GHEA Mariam" w:hAnsi="GHEA Mariam" w:cs="Sylfaen"/>
          <w:lang w:val="hy-AM"/>
        </w:rPr>
        <w:t xml:space="preserve"> Այս սկզբունքը մարմնավորում է դատավորի կերպարի առանցքն առ այն, որ անկողմնակալության պահանջը զուտ ձևական բնույթ </w:t>
      </w:r>
      <w:r w:rsidRPr="003D26B6">
        <w:rPr>
          <w:rFonts w:ascii="GHEA Mariam" w:hAnsi="GHEA Mariam" w:cs="Sylfaen"/>
          <w:lang w:val="hy-AM"/>
        </w:rPr>
        <w:lastRenderedPageBreak/>
        <w:t>չունի, այն ի ցույց է դնում դատավորի` որպես իրավական վեճը հանգուցալուծող արբիտրի դերը։</w:t>
      </w:r>
    </w:p>
    <w:p w14:paraId="69C03330" w14:textId="314BC9D1"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Այս հենասյունը հատուկ կարևորության է արժանացրել մի շարք գործերով նաև Վճռաբեկ դատարանն իր ուղենիշային որոշումներում</w:t>
      </w:r>
      <w:r w:rsidR="00E65C98" w:rsidRPr="003D26B6">
        <w:rPr>
          <w:rStyle w:val="a8"/>
          <w:rFonts w:ascii="GHEA Mariam" w:hAnsi="GHEA Mariam" w:cs="Sylfaen"/>
          <w:lang w:val="hy-AM"/>
        </w:rPr>
        <w:footnoteReference w:id="2"/>
      </w:r>
      <w:r w:rsidRPr="003D26B6">
        <w:rPr>
          <w:rFonts w:ascii="GHEA Mariam" w:hAnsi="GHEA Mariam" w:cs="Sylfaen"/>
          <w:lang w:val="hy-AM"/>
        </w:rPr>
        <w:t xml:space="preserve">։ </w:t>
      </w:r>
    </w:p>
    <w:p w14:paraId="0D78A22A" w14:textId="1C33DEA2" w:rsidR="00774FFE" w:rsidRPr="003D26B6" w:rsidRDefault="00774FFE" w:rsidP="003C57A8">
      <w:pPr>
        <w:spacing w:line="360" w:lineRule="auto"/>
        <w:ind w:right="-23" w:firstLine="567"/>
        <w:jc w:val="both"/>
        <w:rPr>
          <w:rFonts w:ascii="GHEA Mariam" w:hAnsi="GHEA Mariam"/>
          <w:lang w:val="hy-AM"/>
        </w:rPr>
      </w:pPr>
      <w:r w:rsidRPr="003D26B6">
        <w:rPr>
          <w:rFonts w:ascii="GHEA Mariam" w:hAnsi="GHEA Mariam" w:cs="Sylfaen"/>
          <w:lang w:val="hy-AM"/>
        </w:rPr>
        <w:t>Օրինակ՝ հիմք ընդունելով դատավորի անկախության և անկողմնակալության երաշխիքները, ինչպես նաև խնդրո հարցով Վենետիկի հանձնաժողովի իրավական դիրքորոշումները, Վճռաբեկ դատարանը նախադեպային դիրքորոշում է սահմանել, որ ընդհանուր իրավասության դատարանների կողմից Սահմանադրական դատարան դիմելու դեպքում, երբ դատավորը նախաձեռնում է սահմանադրաիրավական վեճ, վերադաս դատական ատյանը չի կարող կասկածի տակ դնել այդ վեճի իրավաչափությունը` ստանձնելով Սահմանադրական դատարանի դերին բնորոշ գործառույթներ, և ստուգման ենթարկել ստորադաս դատական ատյանի` իրավական ակտի կարգավորման հակասահմանադրականության վերաբերյալ կասկածների հիմնավորվածությունը` այդ կերպ հանգեցնելով «գործառույթ-ինստիտուտ-իրավասություն» եռամիասնության շղթայի ներդաշնակության խախտման</w:t>
      </w:r>
      <w:r w:rsidR="00B52F4D" w:rsidRPr="003D26B6">
        <w:rPr>
          <w:rStyle w:val="a8"/>
          <w:rFonts w:ascii="GHEA Mariam" w:hAnsi="GHEA Mariam" w:cs="Sylfaen"/>
          <w:lang w:val="hy-AM"/>
        </w:rPr>
        <w:footnoteReference w:id="3"/>
      </w:r>
      <w:r w:rsidRPr="003D26B6">
        <w:rPr>
          <w:rFonts w:ascii="GHEA Mariam" w:hAnsi="GHEA Mariam" w:cs="Sylfaen"/>
          <w:lang w:val="hy-AM"/>
        </w:rPr>
        <w:t>:</w:t>
      </w:r>
    </w:p>
    <w:p w14:paraId="78DB238D" w14:textId="6701ABEF" w:rsidR="00212679" w:rsidRPr="003D26B6" w:rsidRDefault="00774FFE" w:rsidP="003C57A8">
      <w:pPr>
        <w:spacing w:line="360" w:lineRule="auto"/>
        <w:ind w:right="-23" w:firstLine="567"/>
        <w:contextualSpacing/>
        <w:jc w:val="both"/>
        <w:rPr>
          <w:rFonts w:ascii="GHEA Mariam" w:hAnsi="GHEA Mariam" w:cs="Sylfaen"/>
          <w:lang w:val="hy-AM"/>
        </w:rPr>
      </w:pPr>
      <w:r w:rsidRPr="003D26B6">
        <w:rPr>
          <w:rFonts w:ascii="GHEA Mariam" w:hAnsi="GHEA Mariam" w:cs="Sylfaen"/>
          <w:b/>
          <w:bCs/>
          <w:lang w:val="hy-AM"/>
        </w:rPr>
        <w:t>Երկրորդ</w:t>
      </w:r>
      <w:r w:rsidRPr="003D26B6">
        <w:rPr>
          <w:rFonts w:ascii="GHEA Mariam" w:hAnsi="GHEA Mariam" w:cs="Sylfaen"/>
          <w:lang w:val="hy-AM"/>
        </w:rPr>
        <w:t xml:space="preserve"> հենասյունը դատավորի </w:t>
      </w:r>
      <w:r w:rsidR="00A30A24" w:rsidRPr="003D26B6">
        <w:rPr>
          <w:rFonts w:ascii="GHEA Mariam" w:hAnsi="GHEA Mariam" w:cs="Sylfaen"/>
          <w:lang w:val="hy-AM"/>
        </w:rPr>
        <w:t>գործունեության</w:t>
      </w:r>
      <w:r w:rsidRPr="003D26B6">
        <w:rPr>
          <w:rFonts w:ascii="GHEA Mariam" w:hAnsi="GHEA Mariam" w:cs="Sylfaen"/>
          <w:lang w:val="hy-AM"/>
        </w:rPr>
        <w:t xml:space="preserve"> հաշվետվողականությունն ու թափանցիկությունն է։ </w:t>
      </w:r>
    </w:p>
    <w:p w14:paraId="45C68271" w14:textId="3253BBA8" w:rsidR="00774FFE" w:rsidRPr="003D26B6" w:rsidRDefault="00212679"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s="Sylfaen"/>
          <w:lang w:val="hy-AM"/>
        </w:rPr>
        <w:t>Այս առումով հ</w:t>
      </w:r>
      <w:r w:rsidR="00774FFE" w:rsidRPr="003D26B6">
        <w:rPr>
          <w:rFonts w:ascii="GHEA Mariam" w:hAnsi="GHEA Mariam" w:cs="Sylfaen"/>
          <w:lang w:val="hy-AM"/>
        </w:rPr>
        <w:t xml:space="preserve">արկ է փաստել, որ հաճախ </w:t>
      </w:r>
      <w:r w:rsidR="00774FFE" w:rsidRPr="003D26B6">
        <w:rPr>
          <w:rFonts w:ascii="GHEA Mariam" w:hAnsi="GHEA Mariam"/>
          <w:color w:val="000000" w:themeColor="text1"/>
          <w:lang w:val="hy-AM"/>
        </w:rPr>
        <w:t>դատական իշխանության գործունեության արդյունավետության նկատմամբ թերահավատությունն ու վստահության պակասը պայմանավորված են լինում դատարանների գործունեության վերաբերյալ իրազեկվածության ցածր աստիճանով, մասնագիտական ճշգրիտ տեղեկատվության բացակայությամբ:</w:t>
      </w:r>
    </w:p>
    <w:p w14:paraId="6B86F9F9" w14:textId="77777777"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 xml:space="preserve">Դատական նիստերի հրապարակայնությունն ավանդաբար ընկալվել է որպես դատարանների և լայն հանրության միջև շփման միակ ձևը, ինչը հաճախ </w:t>
      </w:r>
      <w:r w:rsidRPr="003D26B6">
        <w:rPr>
          <w:rFonts w:ascii="GHEA Mariam" w:hAnsi="GHEA Mariam"/>
          <w:color w:val="000000" w:themeColor="text1"/>
          <w:lang w:val="hy-AM"/>
        </w:rPr>
        <w:lastRenderedPageBreak/>
        <w:t xml:space="preserve">հնարավորություն չի տալիս պատկերացում կազմել այն մասին, թե ինչ ծավալի աշխատանք, ինչ քանակի իրավունքների խախտումներ են արձանագրվում և վերականգնվում դատական կարգով, ինչպիսի մարտահրավերներ են ամենօրյա ռեժիմով հաղթահարվում դատական իշխանության կողմից:  </w:t>
      </w:r>
    </w:p>
    <w:p w14:paraId="4958ECFA" w14:textId="365CF0BE"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Հանրությանը դատարանների դերի և գործունեության մասին տեղեկություններ հաղորդելու գործում առանցքային է լրատվամիջոցների դերը, որոնք արտաքին դիտորդի</w:t>
      </w:r>
      <w:r w:rsidR="0004255E" w:rsidRPr="003D26B6">
        <w:rPr>
          <w:rStyle w:val="a8"/>
          <w:rFonts w:ascii="GHEA Mariam" w:hAnsi="GHEA Mariam" w:cs="Sylfaen"/>
          <w:lang w:val="hy-AM"/>
        </w:rPr>
        <w:footnoteReference w:id="4"/>
      </w:r>
      <w:r w:rsidRPr="003D26B6">
        <w:rPr>
          <w:rFonts w:ascii="GHEA Mariam" w:hAnsi="GHEA Mariam"/>
          <w:color w:val="000000" w:themeColor="text1"/>
          <w:lang w:val="hy-AM"/>
        </w:rPr>
        <w:t xml:space="preserve"> դեր են կատարում և արդարադատությունը հասարակության շրջանում ինտեգրելու առումով նպաստում դատարանների ու հանրության միջև հուսալի կապի հաստատմանը։</w:t>
      </w:r>
      <w:r w:rsidR="0004255E">
        <w:rPr>
          <w:rFonts w:ascii="GHEA Mariam" w:hAnsi="GHEA Mariam"/>
          <w:color w:val="000000" w:themeColor="text1"/>
          <w:lang w:val="hy-AM"/>
        </w:rPr>
        <w:t xml:space="preserve"> </w:t>
      </w:r>
      <w:r w:rsidRPr="003D26B6">
        <w:rPr>
          <w:rFonts w:ascii="GHEA Mariam" w:hAnsi="GHEA Mariam"/>
          <w:color w:val="000000" w:themeColor="text1"/>
          <w:lang w:val="hy-AM"/>
        </w:rPr>
        <w:t xml:space="preserve">Օբյեկտիվ տեղեկատվություն տրամադրելու միջոցով վեր հանելով դատարանների հնարավոր թերացումները, լրատվամիջոցները կարող են նույնիսկ կառուցողական ներդրում ունենալ արդարադատության որակի բարելավման հարցում։ </w:t>
      </w:r>
    </w:p>
    <w:p w14:paraId="738801CB" w14:textId="77777777"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 xml:space="preserve">Դատական իշխանության հասցեին հնչող քննադատությունը կարող է արդյունավետ լինել, եթե այն առողջ է, անկողմնակալ ու կառուցողական, չի խաթարում ու չի վնասում դատական իշխանության հեղինակությունը, չի սահմանափակում նրա անկախությունն ու ինքնուրույնությունը, դատավարության մասնակիցների իրավունքներն ու շահերը։   </w:t>
      </w:r>
    </w:p>
    <w:p w14:paraId="43B9B3D2" w14:textId="14B74931" w:rsidR="00774FFE" w:rsidRPr="003D26B6" w:rsidRDefault="00104BB5"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Զ</w:t>
      </w:r>
      <w:r w:rsidR="00774FFE" w:rsidRPr="003D26B6">
        <w:rPr>
          <w:rFonts w:ascii="GHEA Mariam" w:hAnsi="GHEA Mariam"/>
          <w:color w:val="000000" w:themeColor="text1"/>
          <w:lang w:val="hy-AM"/>
        </w:rPr>
        <w:t xml:space="preserve">անգվածային լրատվամիջոցների հետ դատարանների փոխհարաբերությունները բարելավման խիստ կարիք ունեն: Այս առումով պետք է առօրեական դարձնել այնպիսի մշակույթի ձևավորումը, որը հնարավորություն կտա հասարակության իրազեկվածության աստիճանը բարձրացնել որոշակի մակարդակի: </w:t>
      </w:r>
    </w:p>
    <w:p w14:paraId="4634487E" w14:textId="77777777"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 xml:space="preserve">Առաջադեմ մի շարք երկրներում լրատվամիջոցների հետ հաղորդակցման համար գործում է պատասխանատու դատավորի կամ խոսնակի ինստիտուտը՝ հանրությանը հետաքրքրող հարցերի շուրջ զանգվածային լրատվամիջոցների հետ աշխատանքը կազմակերպելու և դատական իշխանության գործունեության ու </w:t>
      </w:r>
      <w:r w:rsidRPr="003D26B6">
        <w:rPr>
          <w:rFonts w:ascii="GHEA Mariam" w:hAnsi="GHEA Mariam"/>
          <w:color w:val="000000" w:themeColor="text1"/>
          <w:lang w:val="hy-AM"/>
        </w:rPr>
        <w:lastRenderedPageBreak/>
        <w:t>արդարադատության իրականացման գործընթացի վերաբերյալ հանրության՝ տեղեկատվություն ստանալու իրավունքն արդյունավետ իրացնելու համար։</w:t>
      </w:r>
    </w:p>
    <w:p w14:paraId="5ECDF55E" w14:textId="435C3273"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Այս ինստիտուտի ներդրումը հնարավորինս կնպաստի լրատվամիջոցներում հրապարակվող հոդվածների ու հաղորդումների բովանդակության  արժանահավատության աստիճանի բարձրացմանը</w:t>
      </w:r>
      <w:r w:rsidR="00104BB5" w:rsidRPr="003D26B6">
        <w:rPr>
          <w:rFonts w:ascii="GHEA Mariam" w:hAnsi="GHEA Mariam"/>
          <w:color w:val="000000" w:themeColor="text1"/>
          <w:lang w:val="hy-AM"/>
        </w:rPr>
        <w:t>՝</w:t>
      </w:r>
      <w:r w:rsidRPr="003D26B6">
        <w:rPr>
          <w:rFonts w:ascii="GHEA Mariam" w:hAnsi="GHEA Mariam"/>
          <w:color w:val="000000" w:themeColor="text1"/>
          <w:lang w:val="hy-AM"/>
        </w:rPr>
        <w:t xml:space="preserve"> սահմանափակելով դատական ակտերի բովանդակությունից երբեմն չբխող</w:t>
      </w:r>
      <w:r w:rsidR="00B52F4D" w:rsidRPr="003D26B6">
        <w:rPr>
          <w:rFonts w:ascii="GHEA Mariam" w:hAnsi="GHEA Mariam"/>
          <w:color w:val="000000" w:themeColor="text1"/>
          <w:lang w:val="hy-AM"/>
        </w:rPr>
        <w:t>,</w:t>
      </w:r>
      <w:r w:rsidRPr="003D26B6">
        <w:rPr>
          <w:rFonts w:ascii="GHEA Mariam" w:hAnsi="GHEA Mariam"/>
          <w:color w:val="000000" w:themeColor="text1"/>
          <w:lang w:val="hy-AM"/>
        </w:rPr>
        <w:t xml:space="preserve"> և ոչ լիարժեք տեղեկատվություն պարունակող նյութի՝ հանրության շրջանում տարածման հավանականությունը։ </w:t>
      </w:r>
    </w:p>
    <w:p w14:paraId="1E4B110F" w14:textId="77777777" w:rsidR="00774FFE" w:rsidRPr="003D26B6" w:rsidRDefault="00774FFE" w:rsidP="003C57A8">
      <w:pPr>
        <w:spacing w:line="360" w:lineRule="auto"/>
        <w:ind w:right="-23" w:firstLine="567"/>
        <w:contextualSpacing/>
        <w:jc w:val="both"/>
        <w:rPr>
          <w:rFonts w:ascii="GHEA Mariam" w:hAnsi="GHEA Mariam"/>
          <w:color w:val="000000" w:themeColor="text1"/>
          <w:lang w:val="hy-AM"/>
        </w:rPr>
      </w:pPr>
      <w:r w:rsidRPr="003D26B6">
        <w:rPr>
          <w:rFonts w:ascii="GHEA Mariam" w:hAnsi="GHEA Mariam"/>
          <w:color w:val="000000" w:themeColor="text1"/>
          <w:lang w:val="hy-AM"/>
        </w:rPr>
        <w:t xml:space="preserve">Հարկ է ընդունել, որ դատական գործընթացի լիակատար թափանցիկությունն ապահովելը երբեմն անհնար է լինում, քանի որ այն կարող է վնասել գործի քննության արդյանավետությունն ու ներգրավված անձանց շահերը, վտանգել անմեղության կանխավարկածի սկզբունքը, արդար դատաքննության իրավունքը, վարույթի բոլոր մասնակիցների անձնական և ընտանեկան կյանքը հարգելու պահանջը։ Ուստի նպատակը ոչ թե դատարանները լրատվական հարթակի վերածելն է, այլ դատական գործընթացի հնարավոր թափանցիկության ապահովման համար երկխոսություն խթանելը, ինչն անշուշտ ունի նաև կարևոր կրթական ու իրավական դաստիարակության նշանակություն։    </w:t>
      </w:r>
    </w:p>
    <w:p w14:paraId="4A9CAF5D" w14:textId="30D327E9" w:rsidR="00B52F4D" w:rsidRPr="003D26B6" w:rsidRDefault="00774FFE" w:rsidP="003C57A8">
      <w:pPr>
        <w:spacing w:line="360" w:lineRule="auto"/>
        <w:ind w:right="-23" w:firstLine="567"/>
        <w:jc w:val="both"/>
        <w:rPr>
          <w:rFonts w:ascii="GHEA Mariam" w:hAnsi="GHEA Mariam" w:cs="Sylfaen"/>
          <w:color w:val="000000" w:themeColor="text1"/>
          <w:lang w:val="hy-AM"/>
        </w:rPr>
      </w:pPr>
      <w:r w:rsidRPr="003D26B6">
        <w:rPr>
          <w:rFonts w:ascii="GHEA Mariam" w:hAnsi="GHEA Mariam" w:cs="Sylfaen"/>
          <w:color w:val="000000" w:themeColor="text1"/>
          <w:lang w:val="hy-AM"/>
        </w:rPr>
        <w:t xml:space="preserve">Միաժամանակ պետք է նշել, որ դատավորի </w:t>
      </w:r>
      <w:r w:rsidR="00A30A24" w:rsidRPr="003D26B6">
        <w:rPr>
          <w:rFonts w:ascii="GHEA Mariam" w:hAnsi="GHEA Mariam" w:cs="Sylfaen"/>
          <w:color w:val="000000" w:themeColor="text1"/>
          <w:lang w:val="hy-AM"/>
        </w:rPr>
        <w:t>գործունեության</w:t>
      </w:r>
      <w:r w:rsidRPr="003D26B6">
        <w:rPr>
          <w:rFonts w:ascii="GHEA Mariam" w:hAnsi="GHEA Mariam" w:cs="Sylfaen"/>
          <w:color w:val="000000" w:themeColor="text1"/>
          <w:lang w:val="hy-AM"/>
        </w:rPr>
        <w:t xml:space="preserve"> հաշվետվողականությունն ու թափանցիկությունը առավելապես արտահայտվում են դատական ակտերի պատճառաբանվածության բարձր շեմի ապահովմամբ, երբ դատավորը՝ որպես դատական իշխանության ներկայացուցիչ, դատական ակտում ներկայացնում է ոչ թե ընդհանրական, վերացական դատողություններ, այլ առարկայական, կոնկրետ հիմնավորումներ՝ իրավական պաշտպանություն հայցող անձի կողմից բարձրացված փաստարկների վերաբերյալ։ Ընդ որում, ինչպես նշված է Եվրոպական դատավորների խորհրդատվական խորհրդի՝ դատական ակտերի որակին նվիրված կարծիքում</w:t>
      </w:r>
      <w:r w:rsidR="000B127D" w:rsidRPr="003D26B6">
        <w:rPr>
          <w:rStyle w:val="a8"/>
          <w:rFonts w:ascii="GHEA Mariam" w:hAnsi="GHEA Mariam" w:cs="Sylfaen"/>
          <w:lang w:val="hy-AM"/>
        </w:rPr>
        <w:footnoteReference w:id="5"/>
      </w:r>
      <w:r w:rsidR="000B127D">
        <w:rPr>
          <w:rFonts w:ascii="GHEA Mariam" w:hAnsi="GHEA Mariam" w:cs="Sylfaen"/>
          <w:color w:val="000000" w:themeColor="text1"/>
          <w:lang w:val="hy-AM"/>
        </w:rPr>
        <w:t>,</w:t>
      </w:r>
      <w:r w:rsidRPr="003D26B6">
        <w:rPr>
          <w:rFonts w:ascii="GHEA Mariam" w:hAnsi="GHEA Mariam" w:cs="Sylfaen"/>
          <w:color w:val="000000" w:themeColor="text1"/>
          <w:lang w:val="hy-AM"/>
        </w:rPr>
        <w:t xml:space="preserve"> դատական բոլոր ակտերը պետք է շարադրվեն այնպիսի պարզ ու ընկալելի լեզվով, որպեսզի կողմերը և լայն հանրությունը </w:t>
      </w:r>
      <w:r w:rsidRPr="003D26B6">
        <w:rPr>
          <w:rFonts w:ascii="GHEA Mariam" w:hAnsi="GHEA Mariam" w:cs="Sylfaen"/>
          <w:color w:val="000000" w:themeColor="text1"/>
          <w:lang w:val="hy-AM"/>
        </w:rPr>
        <w:lastRenderedPageBreak/>
        <w:t>կարողանան հասկանալ դրանց իմաստը, ըմբռնել դրա</w:t>
      </w:r>
      <w:r w:rsidR="00B52F4D" w:rsidRPr="003D26B6">
        <w:rPr>
          <w:rFonts w:ascii="GHEA Mariam" w:hAnsi="GHEA Mariam" w:cs="Sylfaen"/>
          <w:color w:val="000000" w:themeColor="text1"/>
          <w:lang w:val="hy-AM"/>
        </w:rPr>
        <w:t>նց</w:t>
      </w:r>
      <w:r w:rsidRPr="003D26B6">
        <w:rPr>
          <w:rFonts w:ascii="GHEA Mariam" w:hAnsi="GHEA Mariam" w:cs="Sylfaen"/>
          <w:color w:val="000000" w:themeColor="text1"/>
          <w:lang w:val="hy-AM"/>
        </w:rPr>
        <w:t xml:space="preserve"> էությունը: Այս առումով, կարևոր է ապահովել դատական ակտերի կուռ կառուցվածքն ու մատչելիությունը</w:t>
      </w:r>
      <w:r w:rsidR="002A4F79" w:rsidRPr="003D26B6">
        <w:rPr>
          <w:rFonts w:ascii="GHEA Mariam" w:hAnsi="GHEA Mariam" w:cs="Sylfaen"/>
          <w:color w:val="000000" w:themeColor="text1"/>
          <w:lang w:val="hy-AM"/>
        </w:rPr>
        <w:t>՝</w:t>
      </w:r>
      <w:r w:rsidRPr="003D26B6">
        <w:rPr>
          <w:rFonts w:ascii="GHEA Mariam" w:hAnsi="GHEA Mariam" w:cs="Sylfaen"/>
          <w:color w:val="000000" w:themeColor="text1"/>
          <w:lang w:val="hy-AM"/>
        </w:rPr>
        <w:t xml:space="preserve"> ինչպես իրավաբանական համայնքի ներկայացուցիչների, այնպես էլ հասարակության լայն շրջանակների համար։ </w:t>
      </w:r>
    </w:p>
    <w:p w14:paraId="40DA343B" w14:textId="09226416" w:rsidR="00774FFE" w:rsidRPr="003D26B6" w:rsidRDefault="00B52F4D" w:rsidP="003C57A8">
      <w:pPr>
        <w:spacing w:line="360" w:lineRule="auto"/>
        <w:ind w:right="-23" w:firstLine="567"/>
        <w:jc w:val="both"/>
        <w:rPr>
          <w:rFonts w:ascii="GHEA Mariam" w:hAnsi="GHEA Mariam" w:cs="Sylfaen"/>
          <w:lang w:val="hy-AM"/>
        </w:rPr>
      </w:pPr>
      <w:r w:rsidRPr="003D26B6">
        <w:rPr>
          <w:rFonts w:ascii="GHEA Mariam" w:hAnsi="GHEA Mariam" w:cs="Sylfaen"/>
          <w:color w:val="000000" w:themeColor="text1"/>
          <w:lang w:val="hy-AM"/>
        </w:rPr>
        <w:t>Պ</w:t>
      </w:r>
      <w:r w:rsidR="00774FFE" w:rsidRPr="003D26B6">
        <w:rPr>
          <w:rFonts w:ascii="GHEA Mariam" w:hAnsi="GHEA Mariam" w:cs="Sylfaen"/>
          <w:color w:val="000000" w:themeColor="text1"/>
          <w:lang w:val="hy-AM"/>
        </w:rPr>
        <w:t xml:space="preserve">ակաս կարևոր չէ </w:t>
      </w:r>
      <w:r w:rsidRPr="003D26B6">
        <w:rPr>
          <w:rFonts w:ascii="GHEA Mariam" w:hAnsi="GHEA Mariam" w:cs="Sylfaen"/>
          <w:color w:val="000000" w:themeColor="text1"/>
          <w:lang w:val="hy-AM"/>
        </w:rPr>
        <w:t>փաստել</w:t>
      </w:r>
      <w:r w:rsidR="00774FFE" w:rsidRPr="003D26B6">
        <w:rPr>
          <w:rFonts w:ascii="GHEA Mariam" w:hAnsi="GHEA Mariam" w:cs="Sylfaen"/>
          <w:color w:val="000000" w:themeColor="text1"/>
          <w:lang w:val="hy-AM"/>
        </w:rPr>
        <w:t xml:space="preserve">, որ թափանցիկության և հաշվետվողականության դրսևորումներից է նաև այդ ակտերի հրապարակայնացումը, բացառությամբ այն գործերի, </w:t>
      </w:r>
      <w:r w:rsidR="00774FFE" w:rsidRPr="003D26B6">
        <w:rPr>
          <w:rFonts w:ascii="GHEA Mariam" w:hAnsi="GHEA Mariam" w:cs="Sylfaen"/>
          <w:lang w:val="hy-AM"/>
        </w:rPr>
        <w:t>որոնց քննությունն ընթանում է դռնփակ ռեժիմով։</w:t>
      </w:r>
    </w:p>
    <w:p w14:paraId="14149235" w14:textId="1EDA1727" w:rsidR="002A4F79"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Հատուկ կարևորելով թափանցիկ և հաշվետու աշխատանքը</w:t>
      </w:r>
      <w:r w:rsidR="007D7940" w:rsidRPr="003D26B6">
        <w:rPr>
          <w:rFonts w:ascii="GHEA Mariam" w:hAnsi="GHEA Mariam" w:cs="Sylfaen"/>
          <w:lang w:val="hy-AM"/>
        </w:rPr>
        <w:t>,</w:t>
      </w:r>
      <w:r w:rsidRPr="003D26B6">
        <w:rPr>
          <w:rFonts w:ascii="GHEA Mariam" w:hAnsi="GHEA Mariam" w:cs="Sylfaen"/>
          <w:lang w:val="hy-AM"/>
        </w:rPr>
        <w:t xml:space="preserve"> արդեն ավանդույթ է դարձել յուրաքանչյուր տարի Վճռաբեկ դատարանի որոշումների ժողովածուների հրատարակումը, ինչն իր հերթին թափանցիկության, այդ թվում՝ կառուցողական փոխգործակցության համար մշտապես պատրաստ լինելու վկայությունն է։ </w:t>
      </w:r>
    </w:p>
    <w:p w14:paraId="78935A4D" w14:textId="77777777" w:rsidR="007D7940"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b/>
          <w:bCs/>
          <w:lang w:val="hy-AM"/>
        </w:rPr>
        <w:t xml:space="preserve">Երրորդ </w:t>
      </w:r>
      <w:r w:rsidRPr="003D26B6">
        <w:rPr>
          <w:rFonts w:ascii="GHEA Mariam" w:hAnsi="GHEA Mariam" w:cs="Sylfaen"/>
          <w:lang w:val="hy-AM"/>
        </w:rPr>
        <w:t>հենասյունը ողջամիտ ժամկետում գործերի քննության ապահովումն է, որն այն աստիճանի է փոխկապակցված դատական իշխանության նկատմամբ հասարակության վստահության բաղադրիչի հետ, որ դժվար է պատկերացնել այդ ցացանիշի աճ՝ ողջամիտ ժամկետի պահանջի խախտման պայմաններում։ Ընդ որում, փոխկապակցված լինելով նախորդ հենասյան հետ, հարկ է նկատի ունենալ, որ ողջամիտ ժամկետում գործի քննության պահանջը երբևէ չի կարող տեղի ունենալ պակաս հաշվետվողականության և թափանցիկության ապահովման հաշվին, գործի ըստ էության քննության արդյունքում կայացված դատական ակտը կառուցելով ձևաթղթային պատճառաբանությունների վրա։ Մյուս կողմից</w:t>
      </w:r>
      <w:r w:rsidR="007D7940" w:rsidRPr="003D26B6">
        <w:rPr>
          <w:rFonts w:ascii="GHEA Mariam" w:hAnsi="GHEA Mariam" w:cs="Sylfaen"/>
          <w:lang w:val="hy-AM"/>
        </w:rPr>
        <w:t xml:space="preserve"> կ</w:t>
      </w:r>
      <w:r w:rsidRPr="003D26B6">
        <w:rPr>
          <w:rFonts w:ascii="GHEA Mariam" w:hAnsi="GHEA Mariam" w:cs="Sylfaen"/>
          <w:lang w:val="hy-AM"/>
        </w:rPr>
        <w:t xml:space="preserve">արևոր է գործի քննության տևողությամբ «չսպառել» իրավական պաշտպանություն հայցողի իրավական հետաքրքրությունը գործի ելքի նկատմամբ։ </w:t>
      </w:r>
    </w:p>
    <w:p w14:paraId="7A06AF53" w14:textId="78651092"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lang w:val="hy-AM"/>
        </w:rPr>
        <w:t xml:space="preserve">Ողջամիտ ժամկետներում գործի քննության իրավունքը դատաքննության արդարության գնահատման առաջնային գործիքն է, որն էլ հիմք է հանդիսացել միջազգային իրավական համայնքի և միջազգային կառույցների կողմից </w:t>
      </w:r>
      <w:r w:rsidRPr="003D26B6">
        <w:rPr>
          <w:rFonts w:ascii="GHEA Mariam" w:hAnsi="GHEA Mariam"/>
          <w:i/>
          <w:iCs/>
          <w:lang w:val="hy-AM"/>
        </w:rPr>
        <w:t>«ուշացած արդարադատությունը մերժված արդարադատություն է»</w:t>
      </w:r>
      <w:r w:rsidRPr="003D26B6">
        <w:rPr>
          <w:rFonts w:ascii="GHEA Mariam" w:hAnsi="GHEA Mariam"/>
          <w:lang w:val="hy-AM"/>
        </w:rPr>
        <w:t xml:space="preserve"> կարգախոսը որդեգրելուն։ </w:t>
      </w:r>
      <w:r w:rsidRPr="003D26B6">
        <w:rPr>
          <w:rFonts w:ascii="GHEA Mariam" w:hAnsi="GHEA Mariam" w:cs="Sylfaen"/>
          <w:lang w:val="hy-AM"/>
        </w:rPr>
        <w:t xml:space="preserve">Այդ մասին նշել է նաև Վճռաբեկ դատարանը՝ </w:t>
      </w:r>
      <w:r w:rsidRPr="003D26B6">
        <w:rPr>
          <w:rFonts w:ascii="GHEA Mariam" w:hAnsi="GHEA Mariam" w:cs="Sylfaen"/>
          <w:i/>
          <w:iCs/>
          <w:lang w:val="hy-AM"/>
        </w:rPr>
        <w:t>Լ</w:t>
      </w:r>
      <w:r w:rsidR="002A4F79" w:rsidRPr="003D26B6">
        <w:rPr>
          <w:rFonts w:ascii="GHEA Mariam" w:hAnsi="GHEA Mariam" w:cs="Sylfaen"/>
          <w:i/>
          <w:iCs/>
          <w:lang w:val="hy-AM"/>
        </w:rPr>
        <w:t xml:space="preserve">իլիթ </w:t>
      </w:r>
      <w:r w:rsidRPr="003D26B6">
        <w:rPr>
          <w:rFonts w:ascii="GHEA Mariam" w:hAnsi="GHEA Mariam" w:cs="Sylfaen"/>
          <w:i/>
          <w:iCs/>
          <w:lang w:val="hy-AM"/>
        </w:rPr>
        <w:t>Վարդանյանի և Զ</w:t>
      </w:r>
      <w:r w:rsidR="002A4F79" w:rsidRPr="003D26B6">
        <w:rPr>
          <w:rFonts w:ascii="GHEA Mariam" w:hAnsi="GHEA Mariam" w:cs="Sylfaen"/>
          <w:i/>
          <w:iCs/>
          <w:lang w:val="hy-AM"/>
        </w:rPr>
        <w:t xml:space="preserve">արինե </w:t>
      </w:r>
      <w:r w:rsidRPr="003D26B6">
        <w:rPr>
          <w:rFonts w:ascii="GHEA Mariam" w:hAnsi="GHEA Mariam" w:cs="Sylfaen"/>
          <w:i/>
          <w:iCs/>
          <w:lang w:val="hy-AM"/>
        </w:rPr>
        <w:lastRenderedPageBreak/>
        <w:t xml:space="preserve">Այվազյանի </w:t>
      </w:r>
      <w:r w:rsidRPr="003D26B6">
        <w:rPr>
          <w:rFonts w:ascii="GHEA Mariam" w:hAnsi="GHEA Mariam" w:cs="Sylfaen"/>
          <w:lang w:val="hy-AM"/>
        </w:rPr>
        <w:t>վերաբերյալ գործով առաջին անգամ արձանագրելով տուժողի՝ արդար դատաքննության իրավունքի խախտման փաստը</w:t>
      </w:r>
      <w:r w:rsidR="001B18F2" w:rsidRPr="003D26B6">
        <w:rPr>
          <w:rStyle w:val="a8"/>
          <w:rFonts w:ascii="GHEA Mariam" w:hAnsi="GHEA Mariam" w:cs="Sylfaen"/>
          <w:lang w:val="hy-AM"/>
        </w:rPr>
        <w:footnoteReference w:id="6"/>
      </w:r>
      <w:r w:rsidRPr="003D26B6">
        <w:rPr>
          <w:rFonts w:ascii="GHEA Mariam" w:hAnsi="GHEA Mariam" w:cs="Sylfaen"/>
          <w:lang w:val="hy-AM"/>
        </w:rPr>
        <w:t xml:space="preserve">։ </w:t>
      </w:r>
    </w:p>
    <w:p w14:paraId="7BC134B3" w14:textId="77777777" w:rsidR="000B127D" w:rsidRDefault="00774FFE" w:rsidP="003C57A8">
      <w:pPr>
        <w:spacing w:line="360" w:lineRule="auto"/>
        <w:ind w:right="-23" w:firstLine="567"/>
        <w:jc w:val="both"/>
        <w:rPr>
          <w:rFonts w:ascii="GHEA Mariam" w:hAnsi="GHEA Mariam" w:cs="Sylfaen"/>
          <w:lang w:val="hy-AM"/>
        </w:rPr>
      </w:pPr>
      <w:bookmarkStart w:id="1" w:name="_Hlk109122479"/>
      <w:r w:rsidRPr="003D26B6">
        <w:rPr>
          <w:rFonts w:ascii="GHEA Mariam" w:hAnsi="GHEA Mariam" w:cs="Sylfaen"/>
          <w:lang w:val="hy-AM"/>
        </w:rPr>
        <w:t>Այսպիսով, ամփոփելով ներկայացված</w:t>
      </w:r>
      <w:r w:rsidR="00F01219" w:rsidRPr="003D26B6">
        <w:rPr>
          <w:rFonts w:ascii="GHEA Mariam" w:hAnsi="GHEA Mariam" w:cs="Sylfaen"/>
          <w:lang w:val="hy-AM"/>
        </w:rPr>
        <w:t xml:space="preserve"> առանցքային</w:t>
      </w:r>
      <w:r w:rsidRPr="003D26B6">
        <w:rPr>
          <w:rFonts w:ascii="GHEA Mariam" w:hAnsi="GHEA Mariam" w:cs="Sylfaen"/>
          <w:lang w:val="hy-AM"/>
        </w:rPr>
        <w:t xml:space="preserve"> երեք հիմնասյուների վերաբերյալ </w:t>
      </w:r>
      <w:r w:rsidR="00F01219" w:rsidRPr="003D26B6">
        <w:rPr>
          <w:rFonts w:ascii="GHEA Mariam" w:hAnsi="GHEA Mariam" w:cs="Sylfaen"/>
          <w:lang w:val="hy-AM"/>
        </w:rPr>
        <w:t>մոտեցումները,</w:t>
      </w:r>
      <w:r w:rsidRPr="003D26B6">
        <w:rPr>
          <w:rFonts w:ascii="GHEA Mariam" w:hAnsi="GHEA Mariam" w:cs="Sylfaen"/>
          <w:lang w:val="hy-AM"/>
        </w:rPr>
        <w:t xml:space="preserve"> նշե</w:t>
      </w:r>
      <w:r w:rsidR="00F01219" w:rsidRPr="003D26B6">
        <w:rPr>
          <w:rFonts w:ascii="GHEA Mariam" w:hAnsi="GHEA Mariam" w:cs="Sylfaen"/>
          <w:lang w:val="hy-AM"/>
        </w:rPr>
        <w:t>նք</w:t>
      </w:r>
      <w:r w:rsidRPr="003D26B6">
        <w:rPr>
          <w:rFonts w:ascii="GHEA Mariam" w:hAnsi="GHEA Mariam" w:cs="Sylfaen"/>
          <w:lang w:val="hy-AM"/>
        </w:rPr>
        <w:t xml:space="preserve"> որ դրանց շուրջ է պտտվում դատական իշխանության նկատմամբ հանրային վստահության շրջագիծը։ Պետք է արձանագրել, որ նշված երեք </w:t>
      </w:r>
      <w:r w:rsidR="00F01219" w:rsidRPr="003D26B6">
        <w:rPr>
          <w:rFonts w:ascii="GHEA Mariam" w:hAnsi="GHEA Mariam" w:cs="Sylfaen"/>
          <w:lang w:val="hy-AM"/>
        </w:rPr>
        <w:t>ինստիտուտները</w:t>
      </w:r>
      <w:r w:rsidRPr="003D26B6">
        <w:rPr>
          <w:rFonts w:ascii="GHEA Mariam" w:hAnsi="GHEA Mariam" w:cs="Sylfaen"/>
          <w:lang w:val="hy-AM"/>
        </w:rPr>
        <w:t xml:space="preserve"> կազմում են հանրային վստահության ապահովման առանցքն ու շարժիչ ուժը։ Այս առումով հատուկ խնդիր ունի նաև Վճռաբեկ դատարանը՝ որպես բարձր դատարան։ </w:t>
      </w:r>
    </w:p>
    <w:p w14:paraId="6D80EA2D" w14:textId="54A291D3" w:rsidR="00774FFE" w:rsidRPr="003D26B6" w:rsidRDefault="00774FFE" w:rsidP="003C57A8">
      <w:pPr>
        <w:spacing w:line="360" w:lineRule="auto"/>
        <w:ind w:right="-23" w:firstLine="567"/>
        <w:jc w:val="both"/>
        <w:rPr>
          <w:rFonts w:ascii="GHEA Mariam" w:hAnsi="GHEA Mariam" w:cs="Sylfaen"/>
          <w:lang w:val="hy-AM"/>
        </w:rPr>
      </w:pPr>
      <w:bookmarkStart w:id="2" w:name="_Hlk109122775"/>
      <w:bookmarkEnd w:id="1"/>
      <w:r w:rsidRPr="003D26B6">
        <w:rPr>
          <w:rFonts w:ascii="GHEA Mariam" w:hAnsi="GHEA Mariam" w:cs="Sylfaen"/>
          <w:lang w:val="hy-AM"/>
        </w:rPr>
        <w:t>Մեր տեսլականն է Հայաստանի Հանրապետությունում կանխատեսելի արդարադատության հայեցակարգի զարգացմամբ ձևավորել իրավունքահեն միջավայր, որն իր անգնահատելի նպաստն է բերելու դատական իշխանության նկատմամբ հասարակության վստահության ամրապնդման գործում։</w:t>
      </w:r>
    </w:p>
    <w:bookmarkEnd w:id="2"/>
    <w:p w14:paraId="05A4B743" w14:textId="3E0FAA31"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Սակայն, </w:t>
      </w:r>
      <w:r w:rsidR="00F01219" w:rsidRPr="003D26B6">
        <w:rPr>
          <w:rFonts w:ascii="GHEA Mariam" w:hAnsi="GHEA Mariam" w:cs="Sylfaen"/>
          <w:lang w:val="hy-AM"/>
        </w:rPr>
        <w:t>քննարկվող հարցով</w:t>
      </w:r>
      <w:r w:rsidRPr="003D26B6">
        <w:rPr>
          <w:rFonts w:ascii="GHEA Mariam" w:hAnsi="GHEA Mariam" w:cs="Sylfaen"/>
          <w:lang w:val="hy-AM"/>
        </w:rPr>
        <w:t xml:space="preserve"> պակաս կարևոր նշանակություն չունի նաև համակարգակառուցվածքային միջոցառումների ձեռնարկումն այնպիսի լրացուցիչ գործոնների զարգացման ուղղությամբ, ինչպիսիք են՝ հասարակության իրավագիտակցության մակարդակի բարձրացման աշխատանքների կազմակերպումը, քաղաքացի-դատարան երկխոսության իրավական մշակույթի </w:t>
      </w:r>
      <w:r w:rsidR="00F01219" w:rsidRPr="003D26B6">
        <w:rPr>
          <w:rFonts w:ascii="GHEA Mariam" w:hAnsi="GHEA Mariam" w:cs="Sylfaen"/>
          <w:lang w:val="hy-AM"/>
        </w:rPr>
        <w:t xml:space="preserve">ձևավորումն ու </w:t>
      </w:r>
      <w:r w:rsidRPr="003D26B6">
        <w:rPr>
          <w:rFonts w:ascii="GHEA Mariam" w:hAnsi="GHEA Mariam" w:cs="Sylfaen"/>
          <w:lang w:val="hy-AM"/>
        </w:rPr>
        <w:t>խթանումը, դատարանի՝ որպես պետական հաստատության նկատմամբ հարգանքի</w:t>
      </w:r>
      <w:r w:rsidR="00F01219" w:rsidRPr="003D26B6">
        <w:rPr>
          <w:rFonts w:ascii="GHEA Mariam" w:hAnsi="GHEA Mariam" w:cs="Sylfaen"/>
          <w:lang w:val="hy-AM"/>
        </w:rPr>
        <w:t>՝ ըստ ամենայնի արմատավորում</w:t>
      </w:r>
      <w:r w:rsidR="000B127D">
        <w:rPr>
          <w:rFonts w:ascii="GHEA Mariam" w:hAnsi="GHEA Mariam" w:cs="Sylfaen"/>
          <w:lang w:val="hy-AM"/>
        </w:rPr>
        <w:t>ը</w:t>
      </w:r>
      <w:r w:rsidRPr="003D26B6">
        <w:rPr>
          <w:rFonts w:ascii="GHEA Mariam" w:hAnsi="GHEA Mariam" w:cs="Sylfaen"/>
          <w:lang w:val="hy-AM"/>
        </w:rPr>
        <w:t xml:space="preserve">։ </w:t>
      </w:r>
    </w:p>
    <w:p w14:paraId="1B174302" w14:textId="7A00FAAE" w:rsidR="00774FFE" w:rsidRPr="003D26B6" w:rsidRDefault="00774FFE"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 xml:space="preserve">Մյուս կողմից, </w:t>
      </w:r>
      <w:r w:rsidR="002A4F79" w:rsidRPr="003D26B6">
        <w:rPr>
          <w:rFonts w:ascii="GHEA Mariam" w:hAnsi="GHEA Mariam" w:cs="Sylfaen"/>
          <w:lang w:val="hy-AM"/>
        </w:rPr>
        <w:t>կարևոր է նաև</w:t>
      </w:r>
      <w:r w:rsidRPr="003D26B6">
        <w:rPr>
          <w:rFonts w:ascii="GHEA Mariam" w:hAnsi="GHEA Mariam" w:cs="Sylfaen"/>
          <w:lang w:val="hy-AM"/>
        </w:rPr>
        <w:t xml:space="preserve"> պրոֆեսի</w:t>
      </w:r>
      <w:r w:rsidR="000B127D">
        <w:rPr>
          <w:rFonts w:ascii="GHEA Mariam" w:hAnsi="GHEA Mariam" w:cs="Sylfaen"/>
          <w:lang w:val="hy-AM"/>
        </w:rPr>
        <w:t>ո</w:t>
      </w:r>
      <w:r w:rsidRPr="003D26B6">
        <w:rPr>
          <w:rFonts w:ascii="GHEA Mariam" w:hAnsi="GHEA Mariam" w:cs="Sylfaen"/>
          <w:lang w:val="hy-AM"/>
        </w:rPr>
        <w:t xml:space="preserve">նալ, որակական բարձր չափանիշներին համապատասխանող կադրերի պատրաստման գերխնդիրը։ Այս առումով պետք է մշտապես ի գիտություն ընդունել այն փաստը, որ դատավորների թեկնածուների պատրաստումը հիմնված չէ զուտ մասնագիտական գիտելիքների ստուգման վրա, այն պահանջում է մարդկային բարձր որակական հատկանիշների, կենսափորձի </w:t>
      </w:r>
      <w:r w:rsidRPr="003D26B6">
        <w:rPr>
          <w:rFonts w:ascii="GHEA Mariam" w:hAnsi="GHEA Mariam" w:cs="Sylfaen"/>
          <w:lang w:val="hy-AM"/>
        </w:rPr>
        <w:lastRenderedPageBreak/>
        <w:t>առկայություն, որի պայմաններում միայն կարող է խոսք գնալ դատավորի պաշտոնը զբաղեցնող անձի հանդեպ վստահության ձևավորման մասին։</w:t>
      </w:r>
    </w:p>
    <w:p w14:paraId="36383283" w14:textId="4AC75666" w:rsidR="00774FFE" w:rsidRPr="003D26B6" w:rsidRDefault="002A4F79" w:rsidP="003C57A8">
      <w:pPr>
        <w:spacing w:line="360" w:lineRule="auto"/>
        <w:ind w:right="-23" w:firstLine="567"/>
        <w:jc w:val="both"/>
        <w:rPr>
          <w:rFonts w:ascii="GHEA Mariam" w:hAnsi="GHEA Mariam" w:cs="Sylfaen"/>
          <w:lang w:val="hy-AM"/>
        </w:rPr>
      </w:pPr>
      <w:r w:rsidRPr="003D26B6">
        <w:rPr>
          <w:rFonts w:ascii="GHEA Mariam" w:hAnsi="GHEA Mariam" w:cs="Sylfaen"/>
          <w:lang w:val="hy-AM"/>
        </w:rPr>
        <w:t>Կ</w:t>
      </w:r>
      <w:r w:rsidR="00774FFE" w:rsidRPr="003D26B6">
        <w:rPr>
          <w:rFonts w:ascii="GHEA Mariam" w:hAnsi="GHEA Mariam" w:cs="Sylfaen"/>
          <w:lang w:val="hy-AM"/>
        </w:rPr>
        <w:t>րելով իրավունքի գերակայության ապահովման առաքելությունը՝ դատավորները հասարակությունում արդարադատության իրականացման որակական ցուցանիշների էությունն ու բովանդակությունը արտացոլող անձինք են։ Ուստի, թե</w:t>
      </w:r>
      <w:r w:rsidR="00774FFE" w:rsidRPr="003D26B6">
        <w:rPr>
          <w:rFonts w:ascii="GHEA Mariam" w:hAnsi="GHEA Mariam"/>
          <w:lang w:val="hy-AM"/>
        </w:rPr>
        <w:t>՛</w:t>
      </w:r>
      <w:r w:rsidR="00774FFE" w:rsidRPr="003D26B6">
        <w:rPr>
          <w:rFonts w:ascii="GHEA Mariam" w:hAnsi="GHEA Mariam" w:cs="Sylfaen"/>
          <w:lang w:val="hy-AM"/>
        </w:rPr>
        <w:t xml:space="preserve"> իրավաբանական համայնքը՝ ի դեմս մասնագիտական կառույցների, այդ թվում՝ Վճռաբեկ դատարանի, թե</w:t>
      </w:r>
      <w:r w:rsidR="00774FFE" w:rsidRPr="003D26B6">
        <w:rPr>
          <w:rFonts w:ascii="GHEA Mariam" w:hAnsi="GHEA Mariam"/>
          <w:lang w:val="hy-AM"/>
        </w:rPr>
        <w:t>՛</w:t>
      </w:r>
      <w:r w:rsidR="00774FFE" w:rsidRPr="003D26B6">
        <w:rPr>
          <w:rFonts w:ascii="GHEA Mariam" w:hAnsi="GHEA Mariam" w:cs="Sylfaen"/>
          <w:lang w:val="hy-AM"/>
        </w:rPr>
        <w:t xml:space="preserve"> շահագրգիռ այլ մարմինները, պետք է ամենօրյա գործունեությամբ ուշադրության կենտրոնում պահեն այս օրակարգային հարցերը և իրավունքահեն միջավայրի ձևավորմամբ իրենց զգալի ներդրումն ունենան դատական իշխանություն-հասարակություն կառուցողական փոխգործակցության մշակույթի զարգացման գործում։</w:t>
      </w:r>
    </w:p>
    <w:p w14:paraId="5C4A5E92" w14:textId="2C1AE6E0" w:rsidR="00B034C1" w:rsidRPr="003D26B6" w:rsidRDefault="00B034C1" w:rsidP="003C57A8">
      <w:pPr>
        <w:spacing w:line="360" w:lineRule="auto"/>
        <w:ind w:right="-23" w:firstLine="567"/>
        <w:jc w:val="both"/>
        <w:rPr>
          <w:rFonts w:ascii="GHEA Mariam" w:hAnsi="GHEA Mariam" w:cs="Sylfaen"/>
          <w:lang w:val="hy-AM"/>
        </w:rPr>
      </w:pPr>
    </w:p>
    <w:p w14:paraId="38DFFE98" w14:textId="77777777" w:rsidR="003C57A8" w:rsidRPr="003C57A8" w:rsidRDefault="003C57A8" w:rsidP="003C57A8">
      <w:pPr>
        <w:spacing w:line="276" w:lineRule="auto"/>
        <w:jc w:val="both"/>
        <w:rPr>
          <w:rFonts w:ascii="GHEA Mariam" w:hAnsi="GHEA Mariam"/>
          <w:lang w:val="ru-RU"/>
        </w:rPr>
      </w:pPr>
      <w:r w:rsidRPr="003C57A8">
        <w:rPr>
          <w:rFonts w:ascii="GHEA Mariam" w:hAnsi="GHEA Mariam" w:cs="Sylfaen"/>
          <w:b/>
          <w:bCs/>
          <w:noProof/>
          <w:color w:val="000000"/>
          <w:lang w:val="hy-AM"/>
        </w:rPr>
        <w:t>Аннотация.</w:t>
      </w:r>
      <w:r w:rsidRPr="003C57A8">
        <w:rPr>
          <w:rFonts w:ascii="GHEA Mariam" w:hAnsi="GHEA Mariam" w:cs="Sylfaen"/>
          <w:noProof/>
          <w:color w:val="000000"/>
          <w:lang w:val="hy-AM"/>
        </w:rPr>
        <w:t xml:space="preserve"> </w:t>
      </w:r>
      <w:r w:rsidRPr="003C57A8">
        <w:rPr>
          <w:rFonts w:ascii="GHEA Mariam" w:hAnsi="GHEA Mariam"/>
          <w:lang w:val="ru-RU"/>
        </w:rPr>
        <w:t>Подчеркивая важность обеспечения и укрепления общественного доверия к судебной власти, в рамках настоящей статьи автор рассмотрел ее три составляющие основы: независимость и беспристрастность судебной власти, подотчетность и прозрачность, а также требование рассмотрения дел в разумные сроки.</w:t>
      </w:r>
      <w:r w:rsidRPr="003C57A8">
        <w:rPr>
          <w:rFonts w:ascii="GHEA Mariam" w:hAnsi="GHEA Mariam"/>
          <w:lang w:val="hy-AM"/>
        </w:rPr>
        <w:t xml:space="preserve"> </w:t>
      </w:r>
      <w:r w:rsidRPr="003C57A8">
        <w:rPr>
          <w:rFonts w:ascii="GHEA Mariam" w:hAnsi="GHEA Mariam"/>
          <w:lang w:val="ru-RU"/>
        </w:rPr>
        <w:t>Ссылаясь</w:t>
      </w:r>
      <w:r w:rsidRPr="003C57A8">
        <w:rPr>
          <w:rFonts w:ascii="GHEA Mariam" w:hAnsi="GHEA Mariam"/>
          <w:lang w:val="hy-AM"/>
        </w:rPr>
        <w:t xml:space="preserve"> также </w:t>
      </w:r>
      <w:r w:rsidRPr="003C57A8">
        <w:rPr>
          <w:rFonts w:ascii="GHEA Mariam" w:hAnsi="GHEA Mariam"/>
          <w:lang w:val="ru-RU"/>
        </w:rPr>
        <w:t xml:space="preserve">на </w:t>
      </w:r>
      <w:r w:rsidRPr="003C57A8">
        <w:rPr>
          <w:rFonts w:ascii="GHEA Mariam" w:hAnsi="GHEA Mariam"/>
          <w:lang w:val="hy-AM"/>
        </w:rPr>
        <w:t>правовые позиции Кассационного суда РА по обсуждаемым институтам, автор констатировал, что видение высшей судебной инстанции состоит в том, чтобы с развитием концепции предсказуем</w:t>
      </w:r>
      <w:r w:rsidRPr="003C57A8">
        <w:rPr>
          <w:rFonts w:ascii="GHEA Mariam" w:hAnsi="GHEA Mariam"/>
          <w:lang w:val="ru-RU"/>
        </w:rPr>
        <w:t>ого</w:t>
      </w:r>
      <w:r w:rsidRPr="003C57A8">
        <w:rPr>
          <w:rFonts w:ascii="GHEA Mariam" w:hAnsi="GHEA Mariam"/>
          <w:lang w:val="hy-AM"/>
        </w:rPr>
        <w:t xml:space="preserve"> правосудия в Республике Армения, сформировать </w:t>
      </w:r>
      <w:r w:rsidRPr="003C57A8">
        <w:rPr>
          <w:rFonts w:ascii="GHEA Mariam" w:hAnsi="GHEA Mariam"/>
          <w:lang w:val="ru-RU"/>
        </w:rPr>
        <w:t>основанную на праве</w:t>
      </w:r>
      <w:r w:rsidRPr="003C57A8">
        <w:rPr>
          <w:rFonts w:ascii="GHEA Mariam" w:hAnsi="GHEA Mariam"/>
          <w:lang w:val="hy-AM"/>
        </w:rPr>
        <w:t xml:space="preserve"> среду, которая внесет неоценимый вклад в</w:t>
      </w:r>
      <w:r w:rsidRPr="003C57A8">
        <w:rPr>
          <w:rFonts w:ascii="GHEA Mariam" w:hAnsi="GHEA Mariam"/>
          <w:lang w:val="ru-RU"/>
        </w:rPr>
        <w:t xml:space="preserve"> деле </w:t>
      </w:r>
      <w:r w:rsidRPr="003C57A8">
        <w:rPr>
          <w:rFonts w:ascii="GHEA Mariam" w:hAnsi="GHEA Mariam"/>
          <w:lang w:val="hy-AM"/>
        </w:rPr>
        <w:t>укреплени</w:t>
      </w:r>
      <w:r w:rsidRPr="003C57A8">
        <w:rPr>
          <w:rFonts w:ascii="GHEA Mariam" w:hAnsi="GHEA Mariam"/>
          <w:lang w:val="ru-RU"/>
        </w:rPr>
        <w:t>я</w:t>
      </w:r>
      <w:r w:rsidRPr="003C57A8">
        <w:rPr>
          <w:rFonts w:ascii="GHEA Mariam" w:hAnsi="GHEA Mariam"/>
          <w:lang w:val="hy-AM"/>
        </w:rPr>
        <w:t xml:space="preserve"> доверия общества к судебной власти.</w:t>
      </w:r>
    </w:p>
    <w:p w14:paraId="59BC8606" w14:textId="77777777" w:rsidR="003C57A8" w:rsidRPr="003C57A8" w:rsidRDefault="003C57A8" w:rsidP="003C57A8">
      <w:pPr>
        <w:autoSpaceDE w:val="0"/>
        <w:autoSpaceDN w:val="0"/>
        <w:adjustRightInd w:val="0"/>
        <w:spacing w:line="276" w:lineRule="auto"/>
        <w:ind w:right="120"/>
        <w:jc w:val="both"/>
        <w:rPr>
          <w:rFonts w:ascii="GHEA Mariam" w:hAnsi="GHEA Mariam" w:cs="Sylfaen"/>
          <w:noProof/>
          <w:color w:val="000000"/>
          <w:lang w:val="hy-AM"/>
        </w:rPr>
      </w:pPr>
    </w:p>
    <w:p w14:paraId="37EF80E2" w14:textId="346C90DD" w:rsidR="003C57A8" w:rsidRPr="003C57A8" w:rsidRDefault="003C57A8" w:rsidP="003C57A8">
      <w:pPr>
        <w:autoSpaceDE w:val="0"/>
        <w:autoSpaceDN w:val="0"/>
        <w:adjustRightInd w:val="0"/>
        <w:spacing w:line="276" w:lineRule="auto"/>
        <w:ind w:right="120"/>
        <w:jc w:val="both"/>
        <w:rPr>
          <w:rFonts w:ascii="GHEA Mariam" w:hAnsi="GHEA Mariam" w:cs="Sylfaen"/>
          <w:noProof/>
          <w:color w:val="000000"/>
          <w:lang w:val="hy-AM"/>
        </w:rPr>
      </w:pPr>
      <w:r w:rsidRPr="003C57A8">
        <w:rPr>
          <w:rFonts w:ascii="GHEA Mariam" w:hAnsi="GHEA Mariam" w:cs="Sylfaen"/>
          <w:b/>
          <w:bCs/>
          <w:noProof/>
          <w:color w:val="000000"/>
          <w:lang w:val="hy-AM"/>
        </w:rPr>
        <w:t>Annotation.</w:t>
      </w:r>
      <w:r w:rsidRPr="003C57A8">
        <w:rPr>
          <w:rFonts w:ascii="GHEA Mariam" w:hAnsi="GHEA Mariam" w:cs="Sylfaen"/>
          <w:noProof/>
          <w:color w:val="000000"/>
          <w:lang w:val="hy-AM"/>
        </w:rPr>
        <w:t xml:space="preserve"> Emphasizing the importance of ensuring and strengthening </w:t>
      </w:r>
      <w:r w:rsidR="00F4645E">
        <w:rPr>
          <w:rFonts w:ascii="GHEA Mariam" w:hAnsi="GHEA Mariam" w:cs="Sylfaen"/>
          <w:noProof/>
          <w:color w:val="000000"/>
          <w:lang w:val="en-US"/>
        </w:rPr>
        <w:t xml:space="preserve">of the </w:t>
      </w:r>
      <w:bookmarkStart w:id="3" w:name="_GoBack"/>
      <w:bookmarkEnd w:id="3"/>
      <w:r w:rsidRPr="003C57A8">
        <w:rPr>
          <w:rFonts w:ascii="GHEA Mariam" w:hAnsi="GHEA Mariam" w:cs="Sylfaen"/>
          <w:noProof/>
          <w:color w:val="000000"/>
          <w:lang w:val="hy-AM"/>
        </w:rPr>
        <w:t xml:space="preserve">public confidence in the judiciary, in the framework of this article, </w:t>
      </w:r>
      <w:r w:rsidR="00A63306" w:rsidRPr="00A63306">
        <w:rPr>
          <w:rFonts w:ascii="GHEA Mariam" w:hAnsi="GHEA Mariam" w:cs="Sylfaen"/>
          <w:noProof/>
          <w:color w:val="000000"/>
          <w:lang w:val="hy-AM"/>
        </w:rPr>
        <w:t>the author considered its three components of the basis</w:t>
      </w:r>
      <w:r w:rsidRPr="003C57A8">
        <w:rPr>
          <w:rFonts w:ascii="GHEA Mariam" w:hAnsi="GHEA Mariam" w:cs="Sylfaen"/>
          <w:noProof/>
          <w:color w:val="000000"/>
          <w:lang w:val="hy-AM"/>
        </w:rPr>
        <w:t xml:space="preserve">: the independence and impartiality of the judiciary, accountability and transparency, as well as the requirement to consider cases within a reasonable time. Referring also to the legal positions of the RA Court of Cassation on the institutions under discussion, </w:t>
      </w:r>
      <w:r w:rsidR="002A3B99" w:rsidRPr="002A3B99">
        <w:rPr>
          <w:rFonts w:ascii="GHEA Mariam" w:hAnsi="GHEA Mariam" w:cs="Sylfaen"/>
          <w:noProof/>
          <w:color w:val="000000"/>
          <w:lang w:val="hy-AM"/>
        </w:rPr>
        <w:t xml:space="preserve">the author emphasized that the vision of the highest court </w:t>
      </w:r>
      <w:r w:rsidRPr="003C57A8">
        <w:rPr>
          <w:rFonts w:ascii="GHEA Mariam" w:hAnsi="GHEA Mariam" w:cs="Sylfaen"/>
          <w:noProof/>
          <w:color w:val="000000"/>
          <w:lang w:val="hy-AM"/>
        </w:rPr>
        <w:t xml:space="preserve">is to form a law-based environment with the development of the concept of predictable justice in the Republic of Armenia, which will make an invaluable contribution to strengthening public confidence in </w:t>
      </w:r>
      <w:r w:rsidRPr="003C57A8">
        <w:rPr>
          <w:rFonts w:ascii="GHEA Mariam" w:hAnsi="GHEA Mariam" w:cs="Sylfaen"/>
          <w:noProof/>
          <w:color w:val="000000"/>
          <w:lang w:val="en-US"/>
        </w:rPr>
        <w:t>the judiciary</w:t>
      </w:r>
      <w:r w:rsidRPr="003C57A8">
        <w:rPr>
          <w:rFonts w:ascii="GHEA Mariam" w:hAnsi="GHEA Mariam" w:cs="Sylfaen"/>
          <w:noProof/>
          <w:color w:val="000000"/>
          <w:lang w:val="hy-AM"/>
        </w:rPr>
        <w:t>.</w:t>
      </w:r>
    </w:p>
    <w:p w14:paraId="7A301F83" w14:textId="77777777" w:rsidR="003C57A8" w:rsidRPr="003C57A8" w:rsidRDefault="003C57A8" w:rsidP="003C57A8">
      <w:pPr>
        <w:autoSpaceDE w:val="0"/>
        <w:autoSpaceDN w:val="0"/>
        <w:adjustRightInd w:val="0"/>
        <w:spacing w:line="276" w:lineRule="auto"/>
        <w:ind w:right="120"/>
        <w:jc w:val="both"/>
        <w:rPr>
          <w:rFonts w:ascii="GHEA Mariam" w:hAnsi="GHEA Mariam" w:cs="Sylfaen"/>
          <w:noProof/>
          <w:color w:val="000000"/>
          <w:lang w:val="hy-AM"/>
        </w:rPr>
      </w:pPr>
    </w:p>
    <w:p w14:paraId="2335D463" w14:textId="77777777" w:rsidR="003C57A8" w:rsidRPr="003C57A8" w:rsidRDefault="003C57A8" w:rsidP="003C57A8">
      <w:pPr>
        <w:spacing w:line="276" w:lineRule="auto"/>
        <w:ind w:right="120"/>
        <w:jc w:val="both"/>
        <w:rPr>
          <w:rFonts w:ascii="GHEA Mariam" w:hAnsi="GHEA Mariam" w:cs="Sylfaen"/>
          <w:i/>
          <w:iCs/>
          <w:lang w:val="hy-AM"/>
        </w:rPr>
      </w:pPr>
      <w:r w:rsidRPr="003C57A8">
        <w:rPr>
          <w:rFonts w:ascii="GHEA Mariam" w:hAnsi="GHEA Mariam" w:cs="Sylfaen"/>
          <w:b/>
          <w:bCs/>
          <w:iCs/>
          <w:lang w:val="hy-AM"/>
        </w:rPr>
        <w:lastRenderedPageBreak/>
        <w:t>Բանալի բառեր</w:t>
      </w:r>
      <w:r w:rsidRPr="003C57A8">
        <w:rPr>
          <w:rFonts w:ascii="GHEA Mariam" w:hAnsi="GHEA Mariam" w:cs="Sylfaen"/>
          <w:b/>
          <w:bCs/>
          <w:iCs/>
          <w:lang w:val="ru-RU"/>
        </w:rPr>
        <w:t>.</w:t>
      </w:r>
      <w:r w:rsidRPr="003C57A8">
        <w:rPr>
          <w:rFonts w:ascii="GHEA Mariam" w:hAnsi="GHEA Mariam" w:cs="Sylfaen"/>
          <w:b/>
          <w:bCs/>
          <w:i/>
          <w:iCs/>
          <w:lang w:val="hy-AM"/>
        </w:rPr>
        <w:t xml:space="preserve"> </w:t>
      </w:r>
      <w:r w:rsidRPr="003C57A8">
        <w:rPr>
          <w:rFonts w:ascii="GHEA Mariam" w:hAnsi="GHEA Mariam" w:cs="Sylfaen"/>
          <w:i/>
          <w:iCs/>
          <w:lang w:val="hy-AM"/>
        </w:rPr>
        <w:t>Վճռաբեկ դատարան, բարձրագույն դատական ատյան, դատական իշխանության անկախություն, դատավորի գործունեության հաշվետվողականություն և թափանցիկություն, անկողմնակալություն, հանրային վստահություն, գործերի քննության ողջամիտ ժամկետներ։</w:t>
      </w:r>
    </w:p>
    <w:p w14:paraId="63218DBD" w14:textId="77777777" w:rsidR="003C57A8" w:rsidRPr="003C57A8" w:rsidRDefault="003C57A8" w:rsidP="003C57A8">
      <w:pPr>
        <w:spacing w:line="276" w:lineRule="auto"/>
        <w:ind w:right="120"/>
        <w:jc w:val="both"/>
        <w:rPr>
          <w:rFonts w:ascii="GHEA Mariam" w:hAnsi="GHEA Mariam" w:cs="Sylfaen"/>
          <w:i/>
          <w:iCs/>
          <w:lang w:val="ru-RU"/>
        </w:rPr>
      </w:pPr>
      <w:r w:rsidRPr="003C57A8">
        <w:rPr>
          <w:rFonts w:ascii="GHEA Mariam" w:hAnsi="GHEA Mariam" w:cs="Sylfaen"/>
          <w:b/>
          <w:bCs/>
          <w:iCs/>
          <w:lang w:val="ru-RU"/>
        </w:rPr>
        <w:t>Ключевые слова:</w:t>
      </w:r>
      <w:r w:rsidRPr="003C57A8">
        <w:rPr>
          <w:rFonts w:ascii="GHEA Mariam" w:hAnsi="GHEA Mariam" w:cs="Sylfaen"/>
          <w:b/>
          <w:bCs/>
          <w:i/>
          <w:iCs/>
          <w:lang w:val="ru-RU"/>
        </w:rPr>
        <w:t xml:space="preserve"> </w:t>
      </w:r>
      <w:r w:rsidRPr="003C57A8">
        <w:rPr>
          <w:rFonts w:ascii="GHEA Mariam" w:hAnsi="GHEA Mariam" w:cs="Sylfaen"/>
          <w:i/>
          <w:iCs/>
          <w:lang w:val="ru-RU"/>
        </w:rPr>
        <w:t>Кассационный суд, высшая судебная инстанция, независимость судебной власти, подотчетность</w:t>
      </w:r>
      <w:r w:rsidRPr="003C57A8">
        <w:rPr>
          <w:rFonts w:ascii="GHEA Mariam" w:hAnsi="GHEA Mariam" w:cs="Sylfaen"/>
          <w:i/>
          <w:iCs/>
          <w:lang w:val="hy-AM"/>
        </w:rPr>
        <w:t xml:space="preserve"> </w:t>
      </w:r>
      <w:r w:rsidRPr="003C57A8">
        <w:rPr>
          <w:rFonts w:ascii="GHEA Mariam" w:hAnsi="GHEA Mariam" w:cs="Sylfaen"/>
          <w:i/>
          <w:iCs/>
          <w:lang w:val="ru-RU"/>
        </w:rPr>
        <w:t>и прозрачность деятельности суда, беспристрастность, общественное доверие, разумные сроки рассмотрения дел.</w:t>
      </w:r>
    </w:p>
    <w:p w14:paraId="5D686341" w14:textId="40F5DA6A" w:rsidR="00336D9B" w:rsidRPr="006B1675" w:rsidRDefault="003C57A8" w:rsidP="006B1675">
      <w:pPr>
        <w:autoSpaceDE w:val="0"/>
        <w:autoSpaceDN w:val="0"/>
        <w:adjustRightInd w:val="0"/>
        <w:spacing w:line="276" w:lineRule="auto"/>
        <w:ind w:right="120"/>
        <w:jc w:val="both"/>
        <w:rPr>
          <w:rFonts w:ascii="GHEA Mariam" w:hAnsi="GHEA Mariam" w:cs="Sylfaen"/>
          <w:noProof/>
          <w:color w:val="000000"/>
          <w:lang w:val="en-US"/>
        </w:rPr>
      </w:pPr>
      <w:r w:rsidRPr="003C57A8">
        <w:rPr>
          <w:rFonts w:ascii="GHEA Mariam" w:hAnsi="GHEA Mariam" w:cs="Sylfaen"/>
          <w:b/>
          <w:bCs/>
          <w:noProof/>
          <w:color w:val="000000"/>
          <w:lang w:val="hy-AM"/>
        </w:rPr>
        <w:t>Key words:</w:t>
      </w:r>
      <w:r w:rsidRPr="003C57A8">
        <w:rPr>
          <w:rFonts w:ascii="GHEA Mariam" w:hAnsi="GHEA Mariam" w:cs="Sylfaen"/>
          <w:noProof/>
          <w:color w:val="000000"/>
          <w:lang w:val="hy-AM"/>
        </w:rPr>
        <w:t xml:space="preserve"> </w:t>
      </w:r>
      <w:r w:rsidRPr="003C57A8">
        <w:rPr>
          <w:rFonts w:ascii="GHEA Mariam" w:hAnsi="GHEA Mariam" w:cs="Sylfaen"/>
          <w:i/>
          <w:noProof/>
          <w:color w:val="000000"/>
          <w:lang w:val="en-US"/>
        </w:rPr>
        <w:t>Cassation Court, highest court, judicial independence, accountability and transparency of the judiciary, impartiality, public confidence, reasonable time of proceedings.</w:t>
      </w:r>
    </w:p>
    <w:sectPr w:rsidR="00336D9B" w:rsidRPr="006B1675" w:rsidSect="003C57A8">
      <w:footerReference w:type="even" r:id="rId7"/>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FDD0" w14:textId="77777777" w:rsidR="005E71FD" w:rsidRDefault="005E71FD">
      <w:r>
        <w:separator/>
      </w:r>
    </w:p>
  </w:endnote>
  <w:endnote w:type="continuationSeparator" w:id="0">
    <w:p w14:paraId="218BDB6B" w14:textId="77777777" w:rsidR="005E71FD" w:rsidRDefault="005E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71905493"/>
      <w:docPartObj>
        <w:docPartGallery w:val="Page Numbers (Bottom of Page)"/>
        <w:docPartUnique/>
      </w:docPartObj>
    </w:sdtPr>
    <w:sdtEndPr>
      <w:rPr>
        <w:rStyle w:val="a5"/>
      </w:rPr>
    </w:sdtEndPr>
    <w:sdtContent>
      <w:p w14:paraId="7F343317" w14:textId="77777777" w:rsidR="00471067" w:rsidRDefault="00DE47DD" w:rsidP="00E0080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1098EC60" w14:textId="77777777" w:rsidR="00471067" w:rsidRDefault="005E71FD" w:rsidP="0047106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87306542"/>
      <w:docPartObj>
        <w:docPartGallery w:val="Page Numbers (Bottom of Page)"/>
        <w:docPartUnique/>
      </w:docPartObj>
    </w:sdtPr>
    <w:sdtEndPr>
      <w:rPr>
        <w:rStyle w:val="a5"/>
      </w:rPr>
    </w:sdtEndPr>
    <w:sdtContent>
      <w:p w14:paraId="7A7A2443" w14:textId="5C6814C9" w:rsidR="00471067" w:rsidRDefault="00DE47DD" w:rsidP="00E0080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F4645E">
          <w:rPr>
            <w:rStyle w:val="a5"/>
            <w:noProof/>
          </w:rPr>
          <w:t>9</w:t>
        </w:r>
        <w:r>
          <w:rPr>
            <w:rStyle w:val="a5"/>
          </w:rPr>
          <w:fldChar w:fldCharType="end"/>
        </w:r>
      </w:p>
    </w:sdtContent>
  </w:sdt>
  <w:p w14:paraId="3ACE1999" w14:textId="77777777" w:rsidR="00471067" w:rsidRDefault="005E71FD" w:rsidP="004710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BC752" w14:textId="77777777" w:rsidR="005E71FD" w:rsidRDefault="005E71FD">
      <w:r>
        <w:separator/>
      </w:r>
    </w:p>
  </w:footnote>
  <w:footnote w:type="continuationSeparator" w:id="0">
    <w:p w14:paraId="152A88DE" w14:textId="77777777" w:rsidR="005E71FD" w:rsidRDefault="005E71FD">
      <w:r>
        <w:continuationSeparator/>
      </w:r>
    </w:p>
  </w:footnote>
  <w:footnote w:id="1">
    <w:p w14:paraId="10CECF24" w14:textId="77777777" w:rsidR="00BD24FC" w:rsidRPr="003C57A8" w:rsidRDefault="00BD24FC" w:rsidP="003C57A8">
      <w:pPr>
        <w:pStyle w:val="s32b251d"/>
        <w:shd w:val="clear" w:color="auto" w:fill="FFFFFF"/>
        <w:spacing w:before="0" w:beforeAutospacing="0" w:after="0" w:afterAutospacing="0"/>
        <w:ind w:right="-23"/>
        <w:jc w:val="both"/>
        <w:rPr>
          <w:rFonts w:ascii="GHEA Mariam" w:hAnsi="GHEA Mariam" w:cs="Arial"/>
          <w:color w:val="000000"/>
          <w:sz w:val="20"/>
          <w:szCs w:val="20"/>
          <w:lang w:val="hy-AM"/>
        </w:rPr>
      </w:pPr>
      <w:r w:rsidRPr="003C57A8">
        <w:rPr>
          <w:rStyle w:val="a8"/>
          <w:rFonts w:ascii="GHEA Mariam" w:hAnsi="GHEA Mariam"/>
          <w:sz w:val="20"/>
          <w:szCs w:val="20"/>
        </w:rPr>
        <w:footnoteRef/>
      </w:r>
      <w:r w:rsidRPr="003C57A8">
        <w:rPr>
          <w:rFonts w:ascii="GHEA Mariam" w:hAnsi="GHEA Mariam"/>
          <w:sz w:val="20"/>
          <w:szCs w:val="20"/>
          <w:lang w:val="hy-AM"/>
        </w:rPr>
        <w:t xml:space="preserve"> Տե՛ս, </w:t>
      </w:r>
      <w:r w:rsidRPr="003C57A8">
        <w:rPr>
          <w:rFonts w:ascii="GHEA Mariam" w:hAnsi="GHEA Mariam"/>
          <w:i/>
          <w:iCs/>
          <w:sz w:val="20"/>
          <w:szCs w:val="20"/>
          <w:lang w:val="hy-AM"/>
        </w:rPr>
        <w:t>mutatis mutandis,</w:t>
      </w:r>
      <w:r w:rsidRPr="003C57A8">
        <w:rPr>
          <w:rFonts w:ascii="GHEA Mariam" w:hAnsi="GHEA Mariam"/>
          <w:sz w:val="20"/>
          <w:szCs w:val="20"/>
          <w:lang w:val="hy-AM"/>
        </w:rPr>
        <w:t xml:space="preserve"> </w:t>
      </w:r>
      <w:r w:rsidRPr="003C57A8">
        <w:rPr>
          <w:rFonts w:ascii="GHEA Mariam" w:hAnsi="GHEA Mariam"/>
          <w:i/>
          <w:iCs/>
          <w:sz w:val="20"/>
          <w:szCs w:val="20"/>
          <w:lang w:val="hy-AM"/>
        </w:rPr>
        <w:t>Piersack v. Belgium</w:t>
      </w:r>
      <w:r w:rsidRPr="003C57A8">
        <w:rPr>
          <w:rFonts w:ascii="GHEA Mariam" w:hAnsi="GHEA Mariam"/>
          <w:sz w:val="20"/>
          <w:szCs w:val="20"/>
          <w:lang w:val="hy-AM"/>
        </w:rPr>
        <w:t xml:space="preserve"> գործով Մարդու իրավունքների եվրոպական դատարանի՝ 1982 թվականի հոկտեմբերի 1-ի վճիռը, գանգատ թիվ 8692/79, կետ 30-րդ, </w:t>
      </w:r>
      <w:r w:rsidRPr="003C57A8">
        <w:rPr>
          <w:rFonts w:ascii="GHEA Mariam" w:hAnsi="GHEA Mariam"/>
          <w:i/>
          <w:iCs/>
          <w:sz w:val="20"/>
          <w:szCs w:val="20"/>
          <w:lang w:val="hy-AM"/>
        </w:rPr>
        <w:t>Castillo Algar v. Spain</w:t>
      </w:r>
      <w:r w:rsidRPr="003C57A8">
        <w:rPr>
          <w:rFonts w:ascii="GHEA Mariam" w:hAnsi="GHEA Mariam"/>
          <w:sz w:val="20"/>
          <w:szCs w:val="20"/>
          <w:lang w:val="hy-AM"/>
        </w:rPr>
        <w:t xml:space="preserve"> գործով Մարդու իրավունքների եվրոպական դատարանի՝ 1998 թվականի հոկտեմբերի 28-ի վճիռը, գանգատ թիվ </w:t>
      </w:r>
      <w:r w:rsidRPr="003C57A8">
        <w:rPr>
          <w:rStyle w:val="textcolumn"/>
          <w:rFonts w:ascii="GHEA Mariam" w:hAnsi="GHEA Mariam" w:cs="Arial"/>
          <w:sz w:val="20"/>
          <w:szCs w:val="20"/>
          <w:shd w:val="clear" w:color="auto" w:fill="FFFFFF"/>
        </w:rPr>
        <w:t>28194/95</w:t>
      </w:r>
      <w:r w:rsidRPr="003C57A8">
        <w:rPr>
          <w:rStyle w:val="s7d2086b4"/>
          <w:rFonts w:ascii="GHEA Mariam" w:hAnsi="GHEA Mariam" w:cs="Arial"/>
          <w:color w:val="000000"/>
          <w:sz w:val="20"/>
          <w:szCs w:val="20"/>
          <w:lang w:val="hy-AM"/>
        </w:rPr>
        <w:t>,</w:t>
      </w:r>
      <w:r w:rsidRPr="003C57A8">
        <w:rPr>
          <w:rFonts w:ascii="GHEA Mariam" w:hAnsi="GHEA Mariam"/>
          <w:sz w:val="20"/>
          <w:szCs w:val="20"/>
          <w:lang w:val="hy-AM"/>
        </w:rPr>
        <w:t xml:space="preserve"> կետ 45-րդ։</w:t>
      </w:r>
    </w:p>
  </w:footnote>
  <w:footnote w:id="2">
    <w:p w14:paraId="24F6DDFA" w14:textId="0A93BB9E" w:rsidR="00E65C98" w:rsidRPr="003C57A8" w:rsidRDefault="00E65C98" w:rsidP="003C57A8">
      <w:pPr>
        <w:pStyle w:val="a6"/>
        <w:ind w:right="-23"/>
        <w:jc w:val="both"/>
        <w:rPr>
          <w:rFonts w:ascii="GHEA Mariam" w:hAnsi="GHEA Mariam"/>
          <w:lang w:val="hy-AM"/>
        </w:rPr>
      </w:pPr>
      <w:r w:rsidRPr="003C57A8">
        <w:rPr>
          <w:rStyle w:val="a8"/>
          <w:rFonts w:ascii="GHEA Mariam" w:hAnsi="GHEA Mariam"/>
        </w:rPr>
        <w:footnoteRef/>
      </w:r>
      <w:r w:rsidRPr="003C57A8">
        <w:rPr>
          <w:rFonts w:ascii="GHEA Mariam" w:hAnsi="GHEA Mariam"/>
        </w:rPr>
        <w:t xml:space="preserve"> </w:t>
      </w:r>
      <w:r w:rsidRPr="003C57A8">
        <w:rPr>
          <w:rFonts w:ascii="GHEA Mariam" w:hAnsi="GHEA Mariam"/>
          <w:lang w:val="hy-AM"/>
        </w:rPr>
        <w:t xml:space="preserve">Տե՛ս </w:t>
      </w:r>
      <w:r w:rsidR="008C4E0E" w:rsidRPr="003C57A8">
        <w:rPr>
          <w:rFonts w:ascii="GHEA Mariam" w:hAnsi="GHEA Mariam"/>
          <w:lang w:val="hy-AM"/>
        </w:rPr>
        <w:t xml:space="preserve">օրինակ, </w:t>
      </w:r>
      <w:r w:rsidRPr="003C57A8">
        <w:rPr>
          <w:rFonts w:ascii="GHEA Mariam" w:hAnsi="GHEA Mariam"/>
          <w:i/>
          <w:iCs/>
          <w:lang w:val="hy-AM"/>
        </w:rPr>
        <w:t>Մհեր Միլիտոնյանի վերաբերյալ գործով</w:t>
      </w:r>
      <w:r w:rsidRPr="003C57A8">
        <w:rPr>
          <w:rFonts w:ascii="GHEA Mariam" w:hAnsi="GHEA Mariam"/>
          <w:lang w:val="hy-AM"/>
        </w:rPr>
        <w:t xml:space="preserve"> ՀՀ Վճռաբեկ դատարանի՝ 2021 թվականի նոյեմբերի 3-ի թիվ ԵԴ/0013/06/19 որոշումը</w:t>
      </w:r>
      <w:r w:rsidR="008C4E0E" w:rsidRPr="003C57A8">
        <w:rPr>
          <w:rFonts w:ascii="GHEA Mariam" w:hAnsi="GHEA Mariam"/>
          <w:lang w:val="hy-AM"/>
        </w:rPr>
        <w:t xml:space="preserve">, </w:t>
      </w:r>
      <w:r w:rsidR="008C4E0E" w:rsidRPr="003C57A8">
        <w:rPr>
          <w:rFonts w:ascii="GHEA Mariam" w:hAnsi="GHEA Mariam"/>
          <w:i/>
          <w:iCs/>
          <w:lang w:val="hy-AM"/>
        </w:rPr>
        <w:t>Ցոլակ Հովհաննիսյանի</w:t>
      </w:r>
      <w:r w:rsidR="008C4E0E" w:rsidRPr="003C57A8">
        <w:rPr>
          <w:rFonts w:ascii="GHEA Mariam" w:hAnsi="GHEA Mariam"/>
          <w:lang w:val="hy-AM"/>
        </w:rPr>
        <w:t xml:space="preserve"> </w:t>
      </w:r>
      <w:r w:rsidR="008C4E0E" w:rsidRPr="003C57A8">
        <w:rPr>
          <w:rFonts w:ascii="GHEA Mariam" w:hAnsi="GHEA Mariam"/>
          <w:i/>
          <w:iCs/>
          <w:lang w:val="hy-AM"/>
        </w:rPr>
        <w:t>վերաբերյալ գործով</w:t>
      </w:r>
      <w:r w:rsidR="008C4E0E" w:rsidRPr="003C57A8">
        <w:rPr>
          <w:rFonts w:ascii="GHEA Mariam" w:hAnsi="GHEA Mariam"/>
          <w:lang w:val="hy-AM"/>
        </w:rPr>
        <w:t xml:space="preserve"> ՀՀ Վճռաբեկ դատարանի՝ 2016 թվականի դեկտեմբերի 23-ի թիվ ՇԴ/0041/01/15 որոշումը</w:t>
      </w:r>
      <w:r w:rsidRPr="003C57A8">
        <w:rPr>
          <w:rFonts w:ascii="GHEA Mariam" w:hAnsi="GHEA Mariam"/>
          <w:lang w:val="hy-AM"/>
        </w:rPr>
        <w:t xml:space="preserve">։  </w:t>
      </w:r>
    </w:p>
  </w:footnote>
  <w:footnote w:id="3">
    <w:p w14:paraId="0CF0AB45" w14:textId="24620446" w:rsidR="00B52F4D" w:rsidRPr="003C57A8" w:rsidRDefault="00B52F4D" w:rsidP="003C57A8">
      <w:pPr>
        <w:pStyle w:val="a6"/>
        <w:ind w:right="-23"/>
        <w:jc w:val="both"/>
        <w:rPr>
          <w:rFonts w:ascii="GHEA Mariam" w:hAnsi="GHEA Mariam"/>
          <w:lang w:val="hy-AM"/>
        </w:rPr>
      </w:pPr>
      <w:r w:rsidRPr="003C57A8">
        <w:rPr>
          <w:rStyle w:val="a8"/>
          <w:rFonts w:ascii="GHEA Mariam" w:hAnsi="GHEA Mariam"/>
        </w:rPr>
        <w:footnoteRef/>
      </w:r>
      <w:r w:rsidRPr="003C57A8">
        <w:rPr>
          <w:rFonts w:ascii="GHEA Mariam" w:hAnsi="GHEA Mariam"/>
        </w:rPr>
        <w:t xml:space="preserve"> </w:t>
      </w:r>
      <w:r w:rsidRPr="003C57A8">
        <w:rPr>
          <w:rFonts w:ascii="GHEA Mariam" w:hAnsi="GHEA Mariam"/>
          <w:lang w:val="hy-AM"/>
        </w:rPr>
        <w:t xml:space="preserve">Տե՛ս </w:t>
      </w:r>
      <w:r w:rsidR="00C5617E" w:rsidRPr="003C57A8">
        <w:rPr>
          <w:rFonts w:ascii="GHEA Mariam" w:hAnsi="GHEA Mariam"/>
          <w:i/>
          <w:iCs/>
          <w:lang w:val="hy-AM"/>
        </w:rPr>
        <w:t>Ռոբերտ Քոչարյանի և մյուսների վերաբերյալ գործով</w:t>
      </w:r>
      <w:r w:rsidR="00C5617E" w:rsidRPr="003C57A8">
        <w:rPr>
          <w:rFonts w:ascii="GHEA Mariam" w:hAnsi="GHEA Mariam"/>
          <w:lang w:val="hy-AM"/>
        </w:rPr>
        <w:t xml:space="preserve"> </w:t>
      </w:r>
      <w:r w:rsidR="001B18F2" w:rsidRPr="003C57A8">
        <w:rPr>
          <w:rFonts w:ascii="GHEA Mariam" w:hAnsi="GHEA Mariam"/>
          <w:lang w:val="hy-AM"/>
        </w:rPr>
        <w:t>ՀՀ Վճռաբեկ դատարանի՝ 2021 թվականի մարտի 17-ի թիվ ԵԴ/0253/01/19 որոշ</w:t>
      </w:r>
      <w:r w:rsidR="0004255E" w:rsidRPr="003C57A8">
        <w:rPr>
          <w:rFonts w:ascii="GHEA Mariam" w:hAnsi="GHEA Mariam"/>
          <w:lang w:val="hy-AM"/>
        </w:rPr>
        <w:t>ումը, կետ</w:t>
      </w:r>
      <w:r w:rsidR="001B18F2" w:rsidRPr="003C57A8">
        <w:rPr>
          <w:rFonts w:ascii="GHEA Mariam" w:hAnsi="GHEA Mariam"/>
          <w:lang w:val="hy-AM"/>
        </w:rPr>
        <w:t xml:space="preserve"> 23-րդ։  </w:t>
      </w:r>
    </w:p>
  </w:footnote>
  <w:footnote w:id="4">
    <w:p w14:paraId="3105D5FC" w14:textId="1730FA1D" w:rsidR="0004255E" w:rsidRPr="003C57A8" w:rsidRDefault="0004255E" w:rsidP="003C57A8">
      <w:pPr>
        <w:pStyle w:val="a6"/>
        <w:ind w:right="-23"/>
        <w:jc w:val="both"/>
        <w:rPr>
          <w:rFonts w:ascii="GHEA Mariam" w:hAnsi="GHEA Mariam"/>
          <w:lang w:val="hy-AM"/>
        </w:rPr>
      </w:pPr>
      <w:r w:rsidRPr="003C57A8">
        <w:rPr>
          <w:rStyle w:val="a8"/>
          <w:rFonts w:ascii="GHEA Mariam" w:hAnsi="GHEA Mariam"/>
        </w:rPr>
        <w:footnoteRef/>
      </w:r>
      <w:r w:rsidRPr="003C57A8">
        <w:rPr>
          <w:rFonts w:ascii="GHEA Mariam" w:hAnsi="GHEA Mariam"/>
        </w:rPr>
        <w:t xml:space="preserve"> </w:t>
      </w:r>
      <w:r w:rsidRPr="003C57A8">
        <w:rPr>
          <w:rFonts w:ascii="GHEA Mariam" w:hAnsi="GHEA Mariam"/>
          <w:lang w:val="hy-AM"/>
        </w:rPr>
        <w:t>Տե՛ս</w:t>
      </w:r>
      <w:r w:rsidRPr="003C57A8">
        <w:rPr>
          <w:rFonts w:ascii="GHEA Mariam" w:hAnsi="GHEA Mariam"/>
          <w:lang w:val="en-US"/>
        </w:rPr>
        <w:t>,</w:t>
      </w:r>
      <w:r w:rsidRPr="003C57A8">
        <w:rPr>
          <w:rFonts w:ascii="GHEA Mariam" w:hAnsi="GHEA Mariam"/>
          <w:lang w:val="hy-AM"/>
        </w:rPr>
        <w:t xml:space="preserve"> </w:t>
      </w:r>
      <w:r w:rsidRPr="003C57A8">
        <w:rPr>
          <w:rFonts w:ascii="GHEA Mariam" w:hAnsi="GHEA Mariam"/>
          <w:i/>
          <w:iCs/>
          <w:lang w:val="en-US"/>
        </w:rPr>
        <w:t>mutatis mutandis,</w:t>
      </w:r>
      <w:r w:rsidRPr="003C57A8">
        <w:rPr>
          <w:rFonts w:ascii="GHEA Mariam" w:hAnsi="GHEA Mariam"/>
          <w:lang w:val="en-US"/>
        </w:rPr>
        <w:t xml:space="preserve"> </w:t>
      </w:r>
      <w:r w:rsidRPr="003C57A8">
        <w:rPr>
          <w:rFonts w:ascii="GHEA Mariam" w:hAnsi="GHEA Mariam"/>
          <w:lang w:val="hy-AM"/>
        </w:rPr>
        <w:t xml:space="preserve">Եվրոպական դատավորների խորհրդատվական խորհրդի՝ </w:t>
      </w:r>
      <w:r w:rsidRPr="003C57A8">
        <w:rPr>
          <w:rFonts w:ascii="GHEA Mariam" w:hAnsi="GHEA Mariam"/>
          <w:b/>
          <w:bCs/>
          <w:lang w:val="hy-AM"/>
        </w:rPr>
        <w:t>«Արդարադատության և հասարակության մասին»</w:t>
      </w:r>
      <w:r w:rsidRPr="003C57A8">
        <w:rPr>
          <w:rFonts w:ascii="GHEA Mariam" w:hAnsi="GHEA Mariam"/>
          <w:lang w:val="hy-AM"/>
        </w:rPr>
        <w:t xml:space="preserve"> թիվ 7 </w:t>
      </w:r>
      <w:r w:rsidRPr="003C57A8">
        <w:rPr>
          <w:rFonts w:ascii="GHEA Mariam" w:hAnsi="GHEA Mariam"/>
          <w:lang w:val="en-US"/>
        </w:rPr>
        <w:t>(</w:t>
      </w:r>
      <w:r w:rsidRPr="003C57A8">
        <w:rPr>
          <w:rFonts w:ascii="GHEA Mariam" w:hAnsi="GHEA Mariam"/>
          <w:lang w:val="hy-AM"/>
        </w:rPr>
        <w:t>2005</w:t>
      </w:r>
      <w:r w:rsidRPr="003C57A8">
        <w:rPr>
          <w:rFonts w:ascii="GHEA Mariam" w:hAnsi="GHEA Mariam"/>
          <w:lang w:val="en-US"/>
        </w:rPr>
        <w:t>)</w:t>
      </w:r>
      <w:r w:rsidRPr="003C57A8">
        <w:rPr>
          <w:rFonts w:ascii="GHEA Mariam" w:hAnsi="GHEA Mariam"/>
          <w:lang w:val="hy-AM"/>
        </w:rPr>
        <w:t xml:space="preserve"> կարծիքը, կետ 33-րդ։ </w:t>
      </w:r>
    </w:p>
  </w:footnote>
  <w:footnote w:id="5">
    <w:p w14:paraId="2FAEF242" w14:textId="1FB7436E" w:rsidR="000B127D" w:rsidRPr="003C57A8" w:rsidRDefault="000B127D" w:rsidP="003C57A8">
      <w:pPr>
        <w:pStyle w:val="a6"/>
        <w:ind w:right="-23"/>
        <w:jc w:val="both"/>
        <w:rPr>
          <w:rFonts w:ascii="GHEA Mariam" w:hAnsi="GHEA Mariam"/>
          <w:lang w:val="hy-AM"/>
        </w:rPr>
      </w:pPr>
      <w:r w:rsidRPr="003C57A8">
        <w:rPr>
          <w:rStyle w:val="a8"/>
          <w:rFonts w:ascii="GHEA Mariam" w:hAnsi="GHEA Mariam"/>
        </w:rPr>
        <w:footnoteRef/>
      </w:r>
      <w:r w:rsidRPr="003C57A8">
        <w:rPr>
          <w:rFonts w:ascii="GHEA Mariam" w:hAnsi="GHEA Mariam"/>
        </w:rPr>
        <w:t xml:space="preserve"> </w:t>
      </w:r>
      <w:r w:rsidRPr="003C57A8">
        <w:rPr>
          <w:rFonts w:ascii="GHEA Mariam" w:hAnsi="GHEA Mariam"/>
          <w:lang w:val="hy-AM"/>
        </w:rPr>
        <w:t>Տե՛ս</w:t>
      </w:r>
      <w:r w:rsidRPr="003C57A8">
        <w:rPr>
          <w:rFonts w:ascii="GHEA Mariam" w:hAnsi="GHEA Mariam"/>
          <w:lang w:val="en-US"/>
        </w:rPr>
        <w:t>,</w:t>
      </w:r>
      <w:r w:rsidRPr="003C57A8">
        <w:rPr>
          <w:rFonts w:ascii="GHEA Mariam" w:hAnsi="GHEA Mariam"/>
          <w:lang w:val="hy-AM"/>
        </w:rPr>
        <w:t xml:space="preserve"> Եվրոպական դատավորների խորհրդատվական խորհրդի՝ </w:t>
      </w:r>
      <w:r w:rsidRPr="003C57A8">
        <w:rPr>
          <w:rFonts w:ascii="GHEA Mariam" w:hAnsi="GHEA Mariam"/>
          <w:b/>
          <w:bCs/>
          <w:lang w:val="hy-AM"/>
        </w:rPr>
        <w:t>«Դատական ակտերի որակի մասին»</w:t>
      </w:r>
      <w:r w:rsidRPr="003C57A8">
        <w:rPr>
          <w:rFonts w:ascii="GHEA Mariam" w:hAnsi="GHEA Mariam"/>
          <w:lang w:val="hy-AM"/>
        </w:rPr>
        <w:t xml:space="preserve"> թիվ 11 </w:t>
      </w:r>
      <w:r w:rsidRPr="003C57A8">
        <w:rPr>
          <w:rFonts w:ascii="GHEA Mariam" w:hAnsi="GHEA Mariam"/>
          <w:lang w:val="en-US"/>
        </w:rPr>
        <w:t>(</w:t>
      </w:r>
      <w:r w:rsidRPr="003C57A8">
        <w:rPr>
          <w:rFonts w:ascii="GHEA Mariam" w:hAnsi="GHEA Mariam"/>
          <w:lang w:val="hy-AM"/>
        </w:rPr>
        <w:t>2008</w:t>
      </w:r>
      <w:r w:rsidRPr="003C57A8">
        <w:rPr>
          <w:rFonts w:ascii="GHEA Mariam" w:hAnsi="GHEA Mariam"/>
          <w:lang w:val="en-US"/>
        </w:rPr>
        <w:t>)</w:t>
      </w:r>
      <w:r w:rsidRPr="003C57A8">
        <w:rPr>
          <w:rFonts w:ascii="GHEA Mariam" w:hAnsi="GHEA Mariam"/>
          <w:lang w:val="hy-AM"/>
        </w:rPr>
        <w:t xml:space="preserve"> կարծիքը։ </w:t>
      </w:r>
    </w:p>
  </w:footnote>
  <w:footnote w:id="6">
    <w:p w14:paraId="3FBE9BC6" w14:textId="30EE710C" w:rsidR="00C5617E" w:rsidRPr="003C57A8" w:rsidRDefault="00C5617E" w:rsidP="003C57A8">
      <w:pPr>
        <w:pStyle w:val="a6"/>
        <w:ind w:right="-23"/>
        <w:jc w:val="both"/>
        <w:rPr>
          <w:rFonts w:ascii="GHEA Mariam" w:hAnsi="GHEA Mariam"/>
          <w:lang w:val="hy-AM"/>
        </w:rPr>
      </w:pPr>
      <w:r w:rsidRPr="003C57A8">
        <w:rPr>
          <w:rStyle w:val="a8"/>
          <w:rFonts w:ascii="GHEA Mariam" w:hAnsi="GHEA Mariam"/>
        </w:rPr>
        <w:footnoteRef/>
      </w:r>
      <w:r w:rsidRPr="003C57A8">
        <w:rPr>
          <w:rFonts w:ascii="GHEA Mariam" w:hAnsi="GHEA Mariam"/>
        </w:rPr>
        <w:t xml:space="preserve"> </w:t>
      </w:r>
      <w:r w:rsidRPr="003C57A8">
        <w:rPr>
          <w:rFonts w:ascii="GHEA Mariam" w:hAnsi="GHEA Mariam"/>
          <w:lang w:val="hy-AM"/>
        </w:rPr>
        <w:t xml:space="preserve">Տե՛ս </w:t>
      </w:r>
      <w:r w:rsidRPr="003C57A8">
        <w:rPr>
          <w:rFonts w:ascii="GHEA Mariam" w:hAnsi="GHEA Mariam"/>
          <w:i/>
          <w:iCs/>
          <w:lang w:val="hy-AM"/>
        </w:rPr>
        <w:t>Լիլիթ Վարդանյանի և Զարինե Այվազյանի վերաբերյալ գործով</w:t>
      </w:r>
      <w:r w:rsidRPr="003C57A8">
        <w:rPr>
          <w:rFonts w:ascii="GHEA Mariam" w:hAnsi="GHEA Mariam"/>
          <w:lang w:val="hy-AM"/>
        </w:rPr>
        <w:t xml:space="preserve"> ՀՀ Վճռաբեկ դատարանի՝ 2019 թվականի սեպտեմբերի 18-ի թիվ ԵԱՔԴ/0016/01/14 որոշումը։  </w:t>
      </w:r>
    </w:p>
    <w:p w14:paraId="5839A40E" w14:textId="0E6AC9E8" w:rsidR="001B18F2" w:rsidRPr="003C57A8" w:rsidRDefault="001B18F2" w:rsidP="003C57A8">
      <w:pPr>
        <w:pStyle w:val="a6"/>
        <w:ind w:right="-23"/>
        <w:rPr>
          <w:rFonts w:ascii="GHEA Mariam" w:hAnsi="GHEA Mariam"/>
          <w:lang w:val="hy-AM"/>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FE"/>
    <w:rsid w:val="0004255E"/>
    <w:rsid w:val="000464C1"/>
    <w:rsid w:val="000B127D"/>
    <w:rsid w:val="000F63A6"/>
    <w:rsid w:val="00104BB5"/>
    <w:rsid w:val="00113F45"/>
    <w:rsid w:val="001B18F2"/>
    <w:rsid w:val="001C184E"/>
    <w:rsid w:val="001D1745"/>
    <w:rsid w:val="00212679"/>
    <w:rsid w:val="002A3B99"/>
    <w:rsid w:val="002A4F79"/>
    <w:rsid w:val="002C6D8F"/>
    <w:rsid w:val="00336D9B"/>
    <w:rsid w:val="00386655"/>
    <w:rsid w:val="00392B22"/>
    <w:rsid w:val="003C57A8"/>
    <w:rsid w:val="003D26B6"/>
    <w:rsid w:val="00407AFA"/>
    <w:rsid w:val="0041411F"/>
    <w:rsid w:val="00490554"/>
    <w:rsid w:val="004F6E5D"/>
    <w:rsid w:val="00526ABD"/>
    <w:rsid w:val="005C032D"/>
    <w:rsid w:val="005E71FD"/>
    <w:rsid w:val="00622F3E"/>
    <w:rsid w:val="006B1675"/>
    <w:rsid w:val="007463D8"/>
    <w:rsid w:val="00774FFE"/>
    <w:rsid w:val="007D7940"/>
    <w:rsid w:val="00802686"/>
    <w:rsid w:val="00815CBA"/>
    <w:rsid w:val="0084605D"/>
    <w:rsid w:val="008C4E0E"/>
    <w:rsid w:val="008E6822"/>
    <w:rsid w:val="009112DA"/>
    <w:rsid w:val="009262FF"/>
    <w:rsid w:val="009C705A"/>
    <w:rsid w:val="009D0562"/>
    <w:rsid w:val="009E07BC"/>
    <w:rsid w:val="009E72A3"/>
    <w:rsid w:val="00A30A24"/>
    <w:rsid w:val="00A3119F"/>
    <w:rsid w:val="00A63306"/>
    <w:rsid w:val="00AE134B"/>
    <w:rsid w:val="00B034C1"/>
    <w:rsid w:val="00B03D46"/>
    <w:rsid w:val="00B52F4D"/>
    <w:rsid w:val="00B974FD"/>
    <w:rsid w:val="00BD24FC"/>
    <w:rsid w:val="00BD5985"/>
    <w:rsid w:val="00BF1E30"/>
    <w:rsid w:val="00BF4DC7"/>
    <w:rsid w:val="00C04DAF"/>
    <w:rsid w:val="00C5617E"/>
    <w:rsid w:val="00D4423D"/>
    <w:rsid w:val="00DE47DD"/>
    <w:rsid w:val="00DF4187"/>
    <w:rsid w:val="00E65C98"/>
    <w:rsid w:val="00ED4DD2"/>
    <w:rsid w:val="00EF7091"/>
    <w:rsid w:val="00F01219"/>
    <w:rsid w:val="00F03911"/>
    <w:rsid w:val="00F4645E"/>
    <w:rsid w:val="00F91018"/>
    <w:rsid w:val="00FC628B"/>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E3E1"/>
  <w15:chartTrackingRefBased/>
  <w15:docId w15:val="{B5F01BF5-E686-4C10-96DC-85CA20D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FE"/>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74FFE"/>
    <w:pPr>
      <w:tabs>
        <w:tab w:val="center" w:pos="4513"/>
        <w:tab w:val="right" w:pos="9026"/>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774FFE"/>
    <w:rPr>
      <w:sz w:val="24"/>
      <w:szCs w:val="24"/>
      <w:lang w:val="en-GB"/>
    </w:rPr>
  </w:style>
  <w:style w:type="character" w:styleId="a5">
    <w:name w:val="page number"/>
    <w:basedOn w:val="a0"/>
    <w:uiPriority w:val="99"/>
    <w:semiHidden/>
    <w:unhideWhenUsed/>
    <w:rsid w:val="00774FFE"/>
  </w:style>
  <w:style w:type="paragraph" w:styleId="a6">
    <w:name w:val="footnote text"/>
    <w:basedOn w:val="a"/>
    <w:link w:val="a7"/>
    <w:uiPriority w:val="99"/>
    <w:semiHidden/>
    <w:unhideWhenUsed/>
    <w:rsid w:val="00B52F4D"/>
    <w:rPr>
      <w:sz w:val="20"/>
      <w:szCs w:val="20"/>
    </w:rPr>
  </w:style>
  <w:style w:type="character" w:customStyle="1" w:styleId="a7">
    <w:name w:val="Текст сноски Знак"/>
    <w:basedOn w:val="a0"/>
    <w:link w:val="a6"/>
    <w:uiPriority w:val="99"/>
    <w:semiHidden/>
    <w:rsid w:val="00B52F4D"/>
    <w:rPr>
      <w:rFonts w:ascii="Times New Roman" w:eastAsia="Times New Roman" w:hAnsi="Times New Roman" w:cs="Times New Roman"/>
      <w:sz w:val="20"/>
      <w:szCs w:val="20"/>
      <w:lang w:val="en-GB" w:eastAsia="en-GB"/>
    </w:rPr>
  </w:style>
  <w:style w:type="character" w:styleId="a8">
    <w:name w:val="footnote reference"/>
    <w:basedOn w:val="a0"/>
    <w:semiHidden/>
    <w:unhideWhenUsed/>
    <w:rsid w:val="00B52F4D"/>
    <w:rPr>
      <w:vertAlign w:val="superscript"/>
    </w:rPr>
  </w:style>
  <w:style w:type="paragraph" w:customStyle="1" w:styleId="s32b251d">
    <w:name w:val="s32b251d"/>
    <w:basedOn w:val="a"/>
    <w:rsid w:val="00BD24FC"/>
    <w:pPr>
      <w:spacing w:before="100" w:beforeAutospacing="1" w:after="100" w:afterAutospacing="1"/>
    </w:pPr>
    <w:rPr>
      <w:u w:color="000000"/>
      <w:lang w:val="en-US" w:eastAsia="en-US"/>
    </w:rPr>
  </w:style>
  <w:style w:type="character" w:customStyle="1" w:styleId="s7d2086b4">
    <w:name w:val="s7d2086b4"/>
    <w:rsid w:val="00BD24FC"/>
  </w:style>
  <w:style w:type="character" w:customStyle="1" w:styleId="textcolumn">
    <w:name w:val="textcolumn"/>
    <w:basedOn w:val="a0"/>
    <w:rsid w:val="00BD24FC"/>
  </w:style>
  <w:style w:type="paragraph" w:styleId="a9">
    <w:name w:val="Balloon Text"/>
    <w:basedOn w:val="a"/>
    <w:link w:val="aa"/>
    <w:uiPriority w:val="99"/>
    <w:semiHidden/>
    <w:unhideWhenUsed/>
    <w:rsid w:val="006B1675"/>
    <w:rPr>
      <w:rFonts w:ascii="Segoe UI" w:hAnsi="Segoe UI" w:cs="Segoe UI"/>
      <w:sz w:val="18"/>
      <w:szCs w:val="18"/>
    </w:rPr>
  </w:style>
  <w:style w:type="character" w:customStyle="1" w:styleId="aa">
    <w:name w:val="Текст выноски Знак"/>
    <w:basedOn w:val="a0"/>
    <w:link w:val="a9"/>
    <w:uiPriority w:val="99"/>
    <w:semiHidden/>
    <w:rsid w:val="006B167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C5B2-F5CB-4B71-AD82-3A810CD8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2238</Words>
  <Characters>12762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Department Of the RA</dc:creator>
  <cp:keywords/>
  <dc:description/>
  <cp:lastModifiedBy>1</cp:lastModifiedBy>
  <cp:revision>55</cp:revision>
  <cp:lastPrinted>2022-07-19T12:59:00Z</cp:lastPrinted>
  <dcterms:created xsi:type="dcterms:W3CDTF">2022-07-13T13:31:00Z</dcterms:created>
  <dcterms:modified xsi:type="dcterms:W3CDTF">2022-07-19T15:23:00Z</dcterms:modified>
</cp:coreProperties>
</file>